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B94CAF" w:rsidP="00347411">
      <w:pPr>
        <w:jc w:val="center"/>
        <w:rPr>
          <w:rFonts w:ascii="Arial" w:hAnsi="Arial" w:cs="Arial" w:hint="eastAsia"/>
          <w:b/>
          <w:sz w:val="28"/>
          <w:szCs w:val="28"/>
        </w:rPr>
      </w:pPr>
      <w:bookmarkStart w:id="0" w:name="_GoBack"/>
      <w:bookmarkEnd w:id="0"/>
      <w:r w:rsidRPr="00B94CAF">
        <w:rPr>
          <w:rFonts w:ascii="Arial" w:hAnsi="Arial" w:cs="Arial"/>
          <w:b/>
          <w:sz w:val="28"/>
          <w:szCs w:val="28"/>
        </w:rPr>
        <w:t>World Development</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F31855" w:rsidRPr="00F31855">
        <w:rPr>
          <w:rFonts w:ascii="Arial" w:hAnsi="Arial" w:cs="Arial"/>
          <w:b/>
          <w:sz w:val="22"/>
          <w:szCs w:val="22"/>
        </w:rPr>
        <w:t>194</w:t>
      </w:r>
      <w:r w:rsidRPr="00E822CC">
        <w:rPr>
          <w:rFonts w:ascii="Arial" w:hAnsi="Arial" w:cs="Arial"/>
          <w:b/>
          <w:sz w:val="22"/>
          <w:szCs w:val="22"/>
        </w:rPr>
        <w:t xml:space="preserve">, Issue </w:t>
      </w:r>
      <w:r w:rsidR="00E504DD">
        <w:rPr>
          <w:rFonts w:ascii="Arial" w:hAnsi="Arial" w:cs="Arial" w:hint="eastAsia"/>
          <w:b/>
          <w:sz w:val="22"/>
          <w:szCs w:val="22"/>
        </w:rPr>
        <w:t>1</w:t>
      </w:r>
      <w:r w:rsidR="00B94CAF">
        <w:rPr>
          <w:rFonts w:ascii="Arial" w:hAnsi="Arial" w:cs="Arial"/>
          <w:b/>
          <w:sz w:val="22"/>
          <w:szCs w:val="22"/>
        </w:rPr>
        <w:t>0</w:t>
      </w:r>
      <w:r w:rsidRPr="00E822CC">
        <w:rPr>
          <w:rFonts w:ascii="Arial" w:hAnsi="Arial" w:cs="Arial"/>
          <w:b/>
          <w:sz w:val="22"/>
          <w:szCs w:val="22"/>
        </w:rPr>
        <w:t xml:space="preserve">, </w:t>
      </w:r>
      <w:r w:rsidR="00B94CAF" w:rsidRPr="00B94CAF">
        <w:rPr>
          <w:rFonts w:ascii="Arial" w:hAnsi="Arial" w:cs="Arial"/>
          <w:b/>
          <w:sz w:val="22"/>
          <w:szCs w:val="22"/>
        </w:rPr>
        <w:t>October</w:t>
      </w:r>
      <w:r w:rsidR="0065320A">
        <w:rPr>
          <w:rFonts w:ascii="Arial" w:hAnsi="Arial" w:cs="Arial"/>
          <w:b/>
          <w:sz w:val="22"/>
          <w:szCs w:val="22"/>
        </w:rPr>
        <w:t xml:space="preserve"> 20</w:t>
      </w:r>
      <w:r w:rsidR="000B581D">
        <w:rPr>
          <w:rFonts w:ascii="Arial" w:hAnsi="Arial" w:cs="Arial"/>
          <w:b/>
          <w:sz w:val="22"/>
          <w:szCs w:val="22"/>
        </w:rPr>
        <w:t>25</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B94CAF" w:rsidRPr="00B94CAF">
        <w:rPr>
          <w:rFonts w:ascii="Arial" w:hAnsi="Arial" w:cs="Arial"/>
          <w:b/>
        </w:rPr>
        <w:t>Verdant vitality: forests benefit child health in China</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B94CAF" w:rsidRPr="00B94CAF">
        <w:rPr>
          <w:rFonts w:ascii="Arial" w:hAnsi="Arial" w:cs="Arial"/>
          <w:b/>
        </w:rPr>
        <w:t>Shang Xu, Yue Wang, Hongliang Zhang</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B94CAF" w:rsidRPr="00B94CAF">
        <w:rPr>
          <w:rFonts w:ascii="Arial" w:hAnsi="Arial" w:cs="Arial"/>
        </w:rPr>
        <w:t>This study examines the impact of forests on child health in China, the world’s largest developing country with significant forest cover growth over the past two decades. The empirical strategy links individual health outcomes with county-level forest cover and employs an instrumental variable approach to address endogeneity concerns. Results show that forests positively affect child health in both the short and long terms. Short-term benefits are particularly prominent in regions without access to tap water, while long-term benefits are more pronounced in urban areas. This evidence supports the role of forests in improving water and air quality. Our calculation suggests that associated health benefits amount to approximately 99.12–140.84 billion RMB, offsetting 15–20% of the total costs incurred for forest conservation and afforestation in China between 1998 and 2016. This study highlights the potential of Nature-based Solutions for addressing societal challenges.</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543A5C" w:rsidRPr="00543A5C">
        <w:rPr>
          <w:rFonts w:ascii="Arial" w:hAnsi="Arial" w:cs="Arial"/>
          <w:b/>
        </w:rPr>
        <w:t>Marx meets Weber: The dissolution of communes and the rise of religious public goods in China</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543A5C" w:rsidRPr="00543A5C">
        <w:rPr>
          <w:rFonts w:ascii="Arial" w:hAnsi="Arial" w:cs="Arial"/>
          <w:b/>
        </w:rPr>
        <w:t>Shukang Xiao, Pinghan Liang</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543A5C" w:rsidRPr="00543A5C">
        <w:rPr>
          <w:rFonts w:ascii="Arial" w:hAnsi="Arial" w:cs="Arial"/>
        </w:rPr>
        <w:t>Cultural behaviors can be shaped and preserved by economic institutions. We examine the causal impact of the rural decollectivization reform in China that took place after 1978 on the supply of religious public goods. A staggered difference-in-differences model that analyzes the timing of reform implementation in 1,114 counties finds that the reform resulted in a surge in religious activities in religious sites. Further evidence suggests that counties with a lower intensity of the Cultural Revolution (1966–1976) and a larger income growth experienced a greater impact of the reform. Moreover, lineage associations, being more religious and serving as a critical tool in mobilizing individuals, could enhance the impact of the reform. We argue that in the commune system before the reform, the demand for religions as well as its supply were not fully expressed and the reform increased people’s economic autonomy and resources for participating in religious activities. Our study offers a political economy explanation for the rise of religion in China’s economic transition after 1978.</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F579EE" w:rsidRPr="00F579EE">
        <w:rPr>
          <w:rFonts w:ascii="Arial" w:hAnsi="Arial" w:cs="Arial"/>
          <w:b/>
        </w:rPr>
        <w:t>Violent conflicts and learning outcomes: Evidence from Sub-Saharan Africa</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F579EE" w:rsidRPr="00F579EE">
        <w:rPr>
          <w:rFonts w:ascii="Arial" w:hAnsi="Arial" w:cs="Arial"/>
          <w:b/>
        </w:rPr>
        <w:t>Mhamed Ben Salah, Kritika Saxena</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F579EE" w:rsidRPr="00F579EE">
        <w:rPr>
          <w:rFonts w:ascii="Arial" w:hAnsi="Arial" w:cs="Arial"/>
        </w:rPr>
        <w:t xml:space="preserve">This study assesses the impact of violent conflicts on learning outcomes in sub-Saharan Africa using data on standardized test scores and conflict events from ten countries. Our findings demonstrate that exposure to violent conflict events experienced since birth significantly reduces pupils’ proficiency in reading and mathematics. The timing of exposure and the nature of conflict events influence the extent of these effects. Violent conflicts, particularly those causing higher casualties and infrastructure destruction, </w:t>
      </w:r>
      <w:r w:rsidR="00F579EE" w:rsidRPr="00F579EE">
        <w:rPr>
          <w:rFonts w:ascii="Arial" w:hAnsi="Arial" w:cs="Arial"/>
        </w:rPr>
        <w:lastRenderedPageBreak/>
        <w:t>experienced during early childhood prior to primary school entrance, and to a lesser extent during schooling, significantly hamper learning. These adverse effects remain consistent across pupils’ socio-economic backgrounds, indicating that conflicts do not exacerbate existing disparities in learning outcomes. Moreover, conflicts affect female enrollment, though their precise impact on the gender gap in learning outcomes is less clear. Our analysis reveals that damaged school infrastructure and territorial development serve as primary conduits through which conflicts disrupt learning. This research sheds light on the multifaceted impact of violent conflicts on education and highlights the need to address both immediate and long-term consequences for human capital development in conflict-affected regions.</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29607B" w:rsidRPr="0029607B">
        <w:rPr>
          <w:rFonts w:ascii="Arial" w:hAnsi="Arial" w:cs="Arial"/>
          <w:b/>
        </w:rPr>
        <w:t>Do government accountability and responsiveness enhance support for property taxes? Experimental evidence from China</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29607B" w:rsidRPr="0029607B">
        <w:rPr>
          <w:rFonts w:ascii="Arial" w:hAnsi="Arial" w:cs="Arial"/>
          <w:b/>
        </w:rPr>
        <w:t>Xiaobo Lü, Lily L. Tsai, Ping Zhang, Minh Trinh</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29607B" w:rsidRPr="0029607B">
        <w:rPr>
          <w:rFonts w:ascii="Arial" w:hAnsi="Arial" w:cs="Arial"/>
        </w:rPr>
        <w:t>The adoption of property taxes is often met with significant challenges in developing countries. Enhancing administrative capacity for assessment and compliance is undoubtedly important, but addressing the political impasse caused by potential mass resentment poses a more formidable challenge. We explore whether institutions for responsiveness and accountability enhance tax morale in societies with weak democratic institutions. We investigate two dimensions of good governance that the government can uphold: government responsiveness to citizen demands in policymaking; and holding corrupt officials accountable. To assess their impact on property tax preferences and compliance behaviors in urban China, we conducted a conjoint experiment and a lab-in-the-field experiment. The former reveals that both responsiveness and accountability have positive effects on preferences for property tax policies; however, the results of the latter provide strong evidence that top-down institutions of accountability are more influential in shaping tax compliance behavior.</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4676AA" w:rsidRPr="004676AA">
        <w:rPr>
          <w:rFonts w:ascii="Arial" w:hAnsi="Arial" w:cs="Arial"/>
          <w:b/>
        </w:rPr>
        <w:t>Green credit and firms’ emission reduction performance: Evidence from China</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4676AA" w:rsidRPr="004676AA">
        <w:rPr>
          <w:rFonts w:ascii="Arial" w:hAnsi="Arial" w:cs="Arial"/>
          <w:b/>
        </w:rPr>
        <w:t>Wen-Quan Hu, Jiewei Fang</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4676AA" w:rsidRPr="004676AA">
        <w:rPr>
          <w:rFonts w:ascii="Arial" w:hAnsi="Arial" w:cs="Arial"/>
        </w:rPr>
        <w:t xml:space="preserve">This paper examines whether imposing environmental performance on firms’ credit accessibility can effectively motivate firms’ emission reduction performance. In 2007, the Chinese central government regarded green credit (GC) regulation as an important market means for environmental protection, energy conservation, and emission reduction for the first time. Based on a difference-in-differences framework and firm-level datasets, we find that the GC regulation caused a significant decrease in total emissions and emission intensity of various pollutants (such as sulfur dioxide, industrial soot, and chemical oxygen demand) from firms in high-polluting industries. Mechanism analyses further explore how firms in high-polluting industries take actions to meet the requirements of the GC regulation in the short term. We find the GC regulation motivated firms in high-polluting industries to achieve abatement through equipment upgrades rather than green innovation in the short term. The heterogeneity analysis discusses the varying </w:t>
      </w:r>
      <w:r w:rsidR="004676AA" w:rsidRPr="004676AA">
        <w:rPr>
          <w:rFonts w:ascii="Arial" w:hAnsi="Arial" w:cs="Arial"/>
        </w:rPr>
        <w:lastRenderedPageBreak/>
        <w:t>responses of firms with different ownership properties and capital intensity under GC regulation. We also find the benefits of emission reduction regarding health and mortality obtained from GC regulation are considerable, the annual average benefits from the emission reduction of these pollutants were as high as 1.66–1.99 billion CNY in our sample. Our findings contribute to the understanding of the emission reduction effect of the GC regulation and provide a reference for countries with similar situations.</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855180" w:rsidRPr="00855180">
        <w:rPr>
          <w:rFonts w:ascii="Arial" w:hAnsi="Arial" w:cs="Arial"/>
          <w:b/>
        </w:rPr>
        <w:t>Decarbonisation and specialisation downgrading: The double harm of GVC integration</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855180" w:rsidRPr="00855180">
        <w:rPr>
          <w:rFonts w:ascii="Arial" w:hAnsi="Arial" w:cs="Arial"/>
          <w:b/>
        </w:rPr>
        <w:t>Giovanni Dosi, Federico Riccio, Maria Enrica Virgillito</w:t>
      </w:r>
    </w:p>
    <w:p w:rsidR="00A47729" w:rsidRPr="00855180" w:rsidRDefault="00A47729" w:rsidP="00855180">
      <w:pPr>
        <w:rPr>
          <w:rFonts w:ascii="Arial" w:hAnsi="Arial" w:cs="Arial" w:hint="eastAsia"/>
          <w:vertAlign w:val="subscript"/>
        </w:rPr>
      </w:pPr>
      <w:r w:rsidRPr="00C33F24">
        <w:rPr>
          <w:rFonts w:ascii="Arial" w:hAnsi="Arial" w:cs="Arial"/>
          <w:b/>
        </w:rPr>
        <w:t>Abstract:</w:t>
      </w:r>
      <w:r w:rsidRPr="006E4F7D">
        <w:rPr>
          <w:rFonts w:ascii="Arial" w:hAnsi="Arial" w:cs="Arial" w:hint="eastAsia"/>
        </w:rPr>
        <w:t xml:space="preserve"> </w:t>
      </w:r>
      <w:r w:rsidR="00855180" w:rsidRPr="00855180">
        <w:rPr>
          <w:rFonts w:ascii="Arial" w:hAnsi="Arial" w:cs="Arial"/>
        </w:rPr>
        <w:t xml:space="preserve">This study explores the double harm of Global Value Chain (GVC) integration by analysing the link between the international division of productive activities and emissions. Methodologically, we propose a framework to disentangle the developmental and sectoral origins of </w:t>
      </w:r>
      <w:r w:rsidR="00855180">
        <w:rPr>
          <w:rFonts w:ascii="Arial" w:hAnsi="Arial" w:cs="Arial"/>
        </w:rPr>
        <w:t>CO</w:t>
      </w:r>
      <w:r w:rsidR="00855180">
        <w:rPr>
          <w:rFonts w:ascii="Arial" w:hAnsi="Arial" w:cs="Arial"/>
          <w:vertAlign w:val="subscript"/>
        </w:rPr>
        <w:t>2</w:t>
      </w:r>
      <w:r w:rsidR="00855180">
        <w:rPr>
          <w:rFonts w:ascii="Arial" w:hAnsi="Arial" w:cs="Arial" w:hint="eastAsia"/>
          <w:vertAlign w:val="subscript"/>
        </w:rPr>
        <w:t xml:space="preserve"> </w:t>
      </w:r>
      <w:r w:rsidR="00855180" w:rsidRPr="00855180">
        <w:rPr>
          <w:rFonts w:ascii="Arial" w:hAnsi="Arial" w:cs="Arial"/>
        </w:rPr>
        <w:t>emissions within GVCs. By providing a granular decomposition of domestic and foreign contributions, we identify foreign backward linkages as the primary carriers of CO2</w:t>
      </w:r>
      <w:r w:rsidR="00855180">
        <w:rPr>
          <w:rFonts w:ascii="Arial" w:hAnsi="Arial" w:cs="Arial" w:hint="eastAsia"/>
          <w:vertAlign w:val="subscript"/>
        </w:rPr>
        <w:t xml:space="preserve"> </w:t>
      </w:r>
      <w:r w:rsidR="00855180" w:rsidRPr="00855180">
        <w:rPr>
          <w:rFonts w:ascii="Arial" w:hAnsi="Arial" w:cs="Arial"/>
        </w:rPr>
        <w:t>emissions along GVCs, surpassing domestic inputs in their CO2</w:t>
      </w:r>
      <w:r w:rsidR="00855180">
        <w:rPr>
          <w:rFonts w:ascii="Arial" w:hAnsi="Arial" w:cs="Arial" w:hint="eastAsia"/>
          <w:vertAlign w:val="subscript"/>
        </w:rPr>
        <w:t xml:space="preserve"> </w:t>
      </w:r>
      <w:r w:rsidR="00855180" w:rsidRPr="00855180">
        <w:rPr>
          <w:rFonts w:ascii="Arial" w:hAnsi="Arial" w:cs="Arial"/>
        </w:rPr>
        <w:t>footprint. From a within-country perspective, we examine how a country’s internal production structure shapes CO2</w:t>
      </w:r>
      <w:r w:rsidR="00855180">
        <w:rPr>
          <w:rFonts w:ascii="Arial" w:hAnsi="Arial" w:cs="Arial"/>
          <w:vertAlign w:val="subscript"/>
        </w:rPr>
        <w:t xml:space="preserve"> </w:t>
      </w:r>
      <w:r w:rsidR="00855180" w:rsidRPr="00855180">
        <w:rPr>
          <w:rFonts w:ascii="Arial" w:hAnsi="Arial" w:cs="Arial"/>
        </w:rPr>
        <w:t>emission profiles across development stages, shedding light on the interplay between economic growth and environmental sustainability. At the cross-country level, we analyse how the changing geography of production, and the ensuing sectoral specialisation, impacts global emissions. The relocation of low-tech and natural resources-based productions to developing countries via GVCs has jointly amplified worldwide emissions and reinforced patterns of industrial and ecological downgrading for developing nations. Implications of our findings entail the coupling of environmental, trade and industrial policies.</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4D0F1C" w:rsidRPr="004D0F1C">
        <w:rPr>
          <w:rFonts w:ascii="Arial" w:hAnsi="Arial" w:cs="Arial"/>
          <w:b/>
        </w:rPr>
        <w:t>Bad signals? Foreign aid and tax morale across Sub-Saharan Africa</w:t>
      </w:r>
    </w:p>
    <w:p w:rsidR="00A47729" w:rsidRPr="00BC4976" w:rsidRDefault="00FF7C1A" w:rsidP="00FF7C1A">
      <w:pPr>
        <w:rPr>
          <w:rFonts w:ascii="Arial" w:hAnsi="Arial" w:cs="Arial" w:hint="eastAsia"/>
          <w:b/>
        </w:rPr>
      </w:pPr>
      <w:r w:rsidRPr="00FF7C1A">
        <w:rPr>
          <w:rFonts w:ascii="Arial" w:hAnsi="Arial" w:cs="Arial"/>
          <w:b/>
        </w:rPr>
        <w:t xml:space="preserve">Authors: </w:t>
      </w:r>
      <w:r w:rsidR="004D0F1C" w:rsidRPr="004D0F1C">
        <w:rPr>
          <w:rFonts w:ascii="Arial" w:hAnsi="Arial" w:cs="Arial"/>
          <w:b/>
        </w:rPr>
        <w:t>Alessandro Belmonte, Vincenzo Bove, Jessica Di Salvatore</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AA07EB" w:rsidRPr="00AA07EB">
        <w:rPr>
          <w:rFonts w:ascii="Arial" w:hAnsi="Arial" w:cs="Arial"/>
        </w:rPr>
        <w:t>Does exposure to foreign aid projects affect citizens’ attitudes towards the state? We examine this question by combining geo-coded data on World Bank aid projects and survey data for 30 Sub-Saharan African countries. We compare individuals across administrative units that vary in the presence and type of aid projects and complement this approach with an unexpected event design that accounts for potential selection concerns. In both analyses, we find that projects focusing on public goods that do not involve the state reduce citizens’ tax morale. However, in locations where the state is not expected to be a public goods’ provider, externally provided public goods do not curb citizens’ tax morale. We interpret these results as evidence of foreign aid sending a public signal of the state’s inability to deliver basic services. Our results can inform multilateral donors on the types and targets of interventions that can backfire on the state.</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523400" w:rsidRPr="00523400">
        <w:rPr>
          <w:rFonts w:ascii="Arial" w:hAnsi="Arial" w:cs="Arial"/>
          <w:b/>
        </w:rPr>
        <w:t>What corruption is most harmful? Unbundling citizen perceptions</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523400" w:rsidRPr="00523400">
        <w:rPr>
          <w:rFonts w:ascii="Arial" w:hAnsi="Arial" w:cs="Arial"/>
          <w:b/>
        </w:rPr>
        <w:t>Aaron Erlich, Jordan Gans-Morse, Simeon Nichter, Arne Holverscheid</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523400" w:rsidRPr="00523400">
        <w:rPr>
          <w:rFonts w:ascii="Arial" w:hAnsi="Arial" w:cs="Arial"/>
        </w:rPr>
        <w:t xml:space="preserve">To combat corruption, many countries employ information campaigns aimed at citizens. When designing such campaigns, practitioners often consider citizen perceptions </w:t>
      </w:r>
      <w:r w:rsidR="00523400" w:rsidRPr="00523400">
        <w:rPr>
          <w:rFonts w:ascii="Arial" w:hAnsi="Arial" w:cs="Arial"/>
        </w:rPr>
        <w:lastRenderedPageBreak/>
        <w:t>of corruption’s harms, but typically lack data about two key questions: Which forms of corruption do citizens deem especially pernicious? And how do citizens’ perceptions differ when considering distinct types of harms? This article introduces a diagnostic approach to investigate these questions, drawing on a conjoint experiment conducted in collaboration with Armenia’s Corruption Prevention Commission. This approach maps citizen perceptions of corruption’s consequences across four distinct types of harms: economic, political, moral, and personal. It not only identifies forms of corruption viewed as particularly damaging, but also reveals how findings may diverge across harms. For example, our findings suggest that Armenians perceive high-level embezzlement as especially harmful for all four types of harms we examined. By contrast, they deem healthcare corruption to inflict more personal and moral harm — but less economic and political harm — than corruption in other sectors. While citizens’ perceptions of corruption harms are context specific, our approach has broad applicability both for practitioners designing campaigns, and for scholars seeking to conceptualize corruption and its consequences.</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C86FF0" w:rsidRPr="00C86FF0">
        <w:rPr>
          <w:rFonts w:ascii="Arial" w:hAnsi="Arial" w:cs="Arial"/>
          <w:b/>
        </w:rPr>
        <w:t>Financial inclusion along the Rural-Urban Continuum: Empirical evidence from a decomposition analysis in Kenya between 2012 and 2021</w:t>
      </w:r>
    </w:p>
    <w:p w:rsidR="00A47729" w:rsidRPr="00BC4976" w:rsidRDefault="00A57A4C" w:rsidP="00A57A4C">
      <w:pPr>
        <w:rPr>
          <w:rFonts w:ascii="Arial" w:hAnsi="Arial" w:cs="Arial" w:hint="eastAsia"/>
          <w:b/>
        </w:rPr>
      </w:pPr>
      <w:r w:rsidRPr="00A57A4C">
        <w:rPr>
          <w:rFonts w:ascii="Arial" w:hAnsi="Arial" w:cs="Arial"/>
          <w:b/>
        </w:rPr>
        <w:t xml:space="preserve">Authors: </w:t>
      </w:r>
      <w:r w:rsidR="00C86FF0" w:rsidRPr="00C86FF0">
        <w:rPr>
          <w:rFonts w:ascii="Arial" w:hAnsi="Arial" w:cs="Arial"/>
          <w:b/>
        </w:rPr>
        <w:t>Constantin Johnen, Anna Mader, Albert Nsengumuremyi, Oliver Mußhoff</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C86FF0" w:rsidRPr="00C86FF0">
        <w:rPr>
          <w:rFonts w:ascii="Arial" w:hAnsi="Arial" w:cs="Arial"/>
        </w:rPr>
        <w:t>People in extremely rural areas may face substantially higher levels of financial exclusion than rural averages suggest. Formulating efficient policy measures hence requires a more nuanced understanding of spatial differences in financial inclusion beyond mere averages of rural–urban differences. This study is the first to investigate inequality of financial inclusion along a rural–urban continuum. Using two nationally representative surveys from Kenya collected in 2012 and 2021, we first quantify the overall levels of spatial inequality for both conventional and digital financial inclusion. To do so, we calculate concentration indices (CIs) and make pairwise comparisons between the most rural and most urban areas. We then investigate the spatial inequality across 12 variables, which were previously identified to be important determinants of financial inclusion. Lastly, we estimate which variables are the most important contributors to spatial inequality. We find that both conventional and digital financial inclusion are statistically significantly concentrated among more urban areas compared to more rural areas. These inequality estimates are similar for both types of financial inclusion and persistent over time. Average rural–urban differences are substantially lower than differences between the most urban and most rural quintile of the continuum. Important determinants of both financial inclusion types, such as education, wealth, mobile phone ownership, and trust exhibit persistent and high levels of spatial inequality. Congruently, we find that to decrease spatial inequality in financial inclusion, policy makers should prioritize decreasing spatial inequality of all four aforementioned variables. Researchers should consider the degree of rurality on a continuum rather than a binary rural–urban definition. Results are robust against different econometric strategies, different measurements of inequality, and different specifications of both financial inclusion and the rural–urban continuum.</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lastRenderedPageBreak/>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C86FF0" w:rsidRPr="00C86FF0">
        <w:rPr>
          <w:rFonts w:ascii="Arial" w:hAnsi="Arial" w:cs="Arial"/>
          <w:b/>
        </w:rPr>
        <w:t>Post-colonial trends of income inequality: Evidence from the overseas departments of France</w:t>
      </w:r>
    </w:p>
    <w:p w:rsidR="00A47729" w:rsidRPr="00BC4976" w:rsidRDefault="00105FFF" w:rsidP="00105FFF">
      <w:pPr>
        <w:rPr>
          <w:rFonts w:ascii="Arial" w:hAnsi="Arial" w:cs="Arial" w:hint="eastAsia"/>
          <w:b/>
        </w:rPr>
      </w:pPr>
      <w:r w:rsidRPr="00105FFF">
        <w:rPr>
          <w:rFonts w:ascii="Arial" w:hAnsi="Arial" w:cs="Arial"/>
          <w:b/>
        </w:rPr>
        <w:t xml:space="preserve">Authors: </w:t>
      </w:r>
      <w:r w:rsidR="00C86FF0" w:rsidRPr="00C86FF0">
        <w:rPr>
          <w:rFonts w:ascii="Arial" w:hAnsi="Arial" w:cs="Arial"/>
          <w:b/>
        </w:rPr>
        <w:t>Yajna Govind</w:t>
      </w:r>
    </w:p>
    <w:p w:rsidR="00A47729" w:rsidRPr="006E4F7D"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C86FF0" w:rsidRPr="00C86FF0">
        <w:rPr>
          <w:rFonts w:ascii="Arial" w:hAnsi="Arial" w:cs="Arial"/>
        </w:rPr>
        <w:t>The link between former colonies and their colonizers has implications for inequality in the post-colonial period. In this paper, I provide evidence from a unique setting in which former colonies were administratively assimilated into the colonial metropolis. Putting together a novel income tax dataset for the four oldest French colonies, now overseas departments of France, I estimate the evolution of income inequality from decolonization in 1946 to the present. I find that the top income shares declined rapidly since decolonization but remained consistently higher than in mainland France. Exploiting contemporary administrative data, I document that mainland-born individuals are over-represented at the top of the labor income distribution and in the high-paying public sector in the overseas departments. Thus, while departmentalization reduced overall inequality, it perpetuated a legacy of colonial income hierarchies into the post-colonial era.</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D017B8" w:rsidRPr="00D017B8">
        <w:rPr>
          <w:rFonts w:ascii="Arial" w:hAnsi="Arial" w:cs="Arial"/>
          <w:b/>
        </w:rPr>
        <w:t>Taking off or putting on shoes?: Barefoot doctors, mental-manual labor, and the health revolution in Mao’s China</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D017B8" w:rsidRPr="00D017B8">
        <w:rPr>
          <w:rFonts w:ascii="Arial" w:hAnsi="Arial" w:cs="Arial"/>
          <w:b/>
        </w:rPr>
        <w:t>Xiaoping Fang</w:t>
      </w:r>
    </w:p>
    <w:p w:rsidR="00A47729" w:rsidRPr="00015B18"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D017B8" w:rsidRPr="00D017B8">
        <w:rPr>
          <w:rFonts w:ascii="Arial" w:hAnsi="Arial" w:cs="Arial"/>
        </w:rPr>
        <w:t>This paper chronologically analyses three sets of dynamic relationships between mental and manual labor in the institutional design, daily practice, and ideological struggle of the barefoot doctor program in Mao’s China. The article argues that the institutional design of the barefoot doctor program in the late 1960s was aimed at combining mental and manual labor in agricultural production and medical practice by emphasizing the manual labor of collecting and preparing Chinese herbal medicine to address the cost of delivering medicine and health in rural China. After the early 1970s, the features of medical study and practice, work schedules, and payment methods as well as the integration of Chinese and western medicine in daily practice led barefoot doctors to separate from the manual labor of agricultural production and Chinese herbal medicine. In the middle of the 1970s, the ideological struggles during the Cultural Revolution of 1966–76 interpreted the manual and mental labor of barefoot doctors in terms of a dichotomy between loyalty to a “revolutionary health line” and medical specialization in “the revisionist health line.” The dynamic relations between the manual and mental labor of barefoot doctors disclosed the complex features of the health revolution in Mao’s China, including traditional medicine versus modern medicine, deprofessionalization versus professionalization, and political discourse versus distribution practices. This paper contributes to the comparative understanding of medicine and public health in rural China prior to 1949 and to contemporary global approaches to health equity in developed countries and resource shortage in developing countries.</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EA2F90" w:rsidRPr="00EA2F90">
        <w:rPr>
          <w:rFonts w:ascii="Arial" w:hAnsi="Arial" w:cs="Arial"/>
          <w:b/>
        </w:rPr>
        <w:t>Boundary-making, tenure insecurity, and conflict: regional dynamics of land tenure change and commodification in East Africa’s pastoralist rangelands</w:t>
      </w:r>
    </w:p>
    <w:p w:rsidR="00A47729" w:rsidRPr="00015B18" w:rsidRDefault="00E553F3" w:rsidP="00E553F3">
      <w:pPr>
        <w:rPr>
          <w:rFonts w:ascii="Arial" w:hAnsi="Arial" w:cs="Arial" w:hint="eastAsia"/>
          <w:b/>
        </w:rPr>
      </w:pPr>
      <w:r w:rsidRPr="00E553F3">
        <w:rPr>
          <w:rFonts w:ascii="Arial" w:hAnsi="Arial" w:cs="Arial"/>
          <w:b/>
        </w:rPr>
        <w:t>Authors:</w:t>
      </w:r>
      <w:r w:rsidR="00015B18" w:rsidRPr="009139D1">
        <w:rPr>
          <w:rFonts w:ascii="Arial" w:hAnsi="Arial" w:cs="Arial"/>
          <w:b/>
        </w:rPr>
        <w:t xml:space="preserve"> </w:t>
      </w:r>
      <w:r w:rsidR="00EA2F90" w:rsidRPr="00EA2F90">
        <w:rPr>
          <w:rFonts w:ascii="Arial" w:hAnsi="Arial" w:cs="Arial"/>
          <w:b/>
        </w:rPr>
        <w:t>James Drew, Per Knutsson</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EA2F90" w:rsidRPr="00EA2F90">
        <w:rPr>
          <w:rFonts w:ascii="Arial" w:hAnsi="Arial" w:cs="Arial"/>
        </w:rPr>
        <w:t xml:space="preserve">East Africa’s pastoralist rangelands are undergoing unprecedented commercialisation and fragmentation as states seek to exploit the economic potential of </w:t>
      </w:r>
      <w:r w:rsidR="00EA2F90" w:rsidRPr="00EA2F90">
        <w:rPr>
          <w:rFonts w:ascii="Arial" w:hAnsi="Arial" w:cs="Arial"/>
        </w:rPr>
        <w:lastRenderedPageBreak/>
        <w:t>the region. Land is rapidly becoming a tradeable asset and communal tenure is being formalised. This article asks how processes of demarcation, formalisation, and increasing commodification of land are impacting tenure security and conflict dynamics for pastoralist and agro-pastoralist communities. We foreground the importance of boundary-making and inter-regional interconnections in our analysis of these processes and their impacts. The article is based primarily on interview data from the neighbouring pastoralist rangelands of Karamoja sub-region, Uganda and West Pokot County, Kenya. A recent rush to acquire land for commercial mining and agriculture in Karamoja, and ongoing land reforms in West Pokot have precipitated land markets and scrambles to demarcate, title, and sell land to benefit from its rising value or to resist its capture by others. Land scrambles and claim-making, alongside more exclusionary ideas of tenure, are having profound impacts on conflict dynamics and tenure insecurity, which as we show often revolves around the materialisation of boundaries. By combining data from West Pokot and Karamoja, the article exemplifies how the recent surge in land commodification alongside demarcation and formalisation – and the impacts on conflict and tenure insecurity – are connected across the region.</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F86DE7" w:rsidRPr="00F86DE7">
        <w:rPr>
          <w:rFonts w:ascii="Arial" w:hAnsi="Arial" w:cs="Arial"/>
          <w:b/>
        </w:rPr>
        <w:t>Transnational capital and the scramble for land and profit: financialization, agrarian development, and resource conflict in Africa</w:t>
      </w:r>
    </w:p>
    <w:p w:rsidR="00A47729" w:rsidRPr="00015B18" w:rsidRDefault="00E553F3" w:rsidP="00E553F3">
      <w:pPr>
        <w:rPr>
          <w:rFonts w:ascii="Arial" w:hAnsi="Arial" w:cs="Arial" w:hint="eastAsia"/>
          <w:b/>
        </w:rPr>
      </w:pPr>
      <w:r w:rsidRPr="00E553F3">
        <w:rPr>
          <w:rFonts w:ascii="Arial" w:hAnsi="Arial" w:cs="Arial"/>
          <w:b/>
        </w:rPr>
        <w:t xml:space="preserve">Authors: </w:t>
      </w:r>
      <w:r w:rsidR="00F86DE7" w:rsidRPr="00F86DE7">
        <w:rPr>
          <w:rFonts w:ascii="Arial" w:hAnsi="Arial" w:cs="Arial"/>
          <w:b/>
        </w:rPr>
        <w:t>Surulola Eke, J. Andrew Grant, Evelyn Mayanja, Nathan Andrews</w:t>
      </w:r>
    </w:p>
    <w:p w:rsidR="001A3C6A" w:rsidRPr="00F31855"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F86DE7" w:rsidRPr="00F86DE7">
        <w:rPr>
          <w:rFonts w:ascii="Arial" w:hAnsi="Arial" w:cs="Arial"/>
        </w:rPr>
        <w:t xml:space="preserve">The promise of financialization in the agrarian world in Africa stems from its capacity to (re)create local economies purportedly for the benefit of investors, local communities, and governments. However, financialization is also known to unevenly distribute risks and rewards between investors and local communities. Therefore, this paper employs a just transition lens to systematically examine existing studies on financial investments in economic activities that involve the exploitation of agricultural resources. It does so to generate big picture insights on the relationship between financialized agro-economic activities (FAEAs), agrarian development, and resource conflict in Africa. Informed by an exploratory research design, the paper draws on secondary data on seven case studies (Uganda, Tanzania, Zambia, South Africa, Côte d’Ivoire, Senegal, and Ghana) to outline the different sets of endogenous and exogenous circumstances, practices, and tendencies in the pre-entry, entry, operations, and exit phases of FAEAs that explain how and why they spur development or engender conflict across their lifespans. By examining FAEAs across these phases in multiple countries, we show that the explanations for their developmental and conflictual outcomes transcend causal binaries of settled versus contested resource rights in the pre-entry phase, stakeholders engagement versus lack of engagement in the entry phase, economic integration versus displacement in the operations phase, and inclusive versus exclusive project termination. It shows that the effect of FAEAs on development and conflict are better understood by also considering the different grey areas between each of the aforementioned pair of factors that shape how FAEAs unfold in local communities. By applying a whole-systems perspective on just transition to examining FAEAs, this paper helps to highlight these grey dynamics (e.g., the side effects of integration on food security, long-term financial well-being, and community cohesion), thereby alerting policymakers, development </w:t>
      </w:r>
      <w:r w:rsidR="00F86DE7" w:rsidRPr="00F86DE7">
        <w:rPr>
          <w:rFonts w:ascii="Arial" w:hAnsi="Arial" w:cs="Arial"/>
        </w:rPr>
        <w:lastRenderedPageBreak/>
        <w:t>practitioners, and the general public on how and why FAEAs make local communities susceptible to resource conflict in spite of their acclaimed developmental potential.</w:t>
      </w:r>
    </w:p>
    <w:sectPr w:rsidR="001A3C6A" w:rsidRPr="00F31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E1F" w:rsidRDefault="006A0E1F" w:rsidP="000416B0">
      <w:r>
        <w:separator/>
      </w:r>
    </w:p>
  </w:endnote>
  <w:endnote w:type="continuationSeparator" w:id="0">
    <w:p w:rsidR="006A0E1F" w:rsidRDefault="006A0E1F"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E1F" w:rsidRDefault="006A0E1F" w:rsidP="000416B0">
      <w:r>
        <w:separator/>
      </w:r>
    </w:p>
  </w:footnote>
  <w:footnote w:type="continuationSeparator" w:id="0">
    <w:p w:rsidR="006A0E1F" w:rsidRDefault="006A0E1F"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4E79"/>
    <w:rsid w:val="00015B18"/>
    <w:rsid w:val="00041477"/>
    <w:rsid w:val="000416B0"/>
    <w:rsid w:val="00046033"/>
    <w:rsid w:val="00080932"/>
    <w:rsid w:val="00085216"/>
    <w:rsid w:val="00097FF1"/>
    <w:rsid w:val="000A70C9"/>
    <w:rsid w:val="000B581D"/>
    <w:rsid w:val="000B5E6A"/>
    <w:rsid w:val="000F4EF2"/>
    <w:rsid w:val="00105FFF"/>
    <w:rsid w:val="00117461"/>
    <w:rsid w:val="00130569"/>
    <w:rsid w:val="001316DF"/>
    <w:rsid w:val="00136277"/>
    <w:rsid w:val="00150EC6"/>
    <w:rsid w:val="00182EB1"/>
    <w:rsid w:val="00190E14"/>
    <w:rsid w:val="001A0968"/>
    <w:rsid w:val="001A3C6A"/>
    <w:rsid w:val="001B311D"/>
    <w:rsid w:val="001B6853"/>
    <w:rsid w:val="001C54AA"/>
    <w:rsid w:val="001F4F1C"/>
    <w:rsid w:val="001F733E"/>
    <w:rsid w:val="0023530F"/>
    <w:rsid w:val="002372AD"/>
    <w:rsid w:val="00244A03"/>
    <w:rsid w:val="00246CDF"/>
    <w:rsid w:val="00267D83"/>
    <w:rsid w:val="00276D91"/>
    <w:rsid w:val="00286DBB"/>
    <w:rsid w:val="00290BBB"/>
    <w:rsid w:val="0029479D"/>
    <w:rsid w:val="0029607B"/>
    <w:rsid w:val="002C6A25"/>
    <w:rsid w:val="002E50D0"/>
    <w:rsid w:val="002F49D9"/>
    <w:rsid w:val="00320FC9"/>
    <w:rsid w:val="00325A86"/>
    <w:rsid w:val="00341D27"/>
    <w:rsid w:val="00347411"/>
    <w:rsid w:val="00362E16"/>
    <w:rsid w:val="00367FF4"/>
    <w:rsid w:val="0038022A"/>
    <w:rsid w:val="0038493B"/>
    <w:rsid w:val="00384A43"/>
    <w:rsid w:val="00390FCB"/>
    <w:rsid w:val="003B49E4"/>
    <w:rsid w:val="003D65C4"/>
    <w:rsid w:val="003E264B"/>
    <w:rsid w:val="00402145"/>
    <w:rsid w:val="00404A4A"/>
    <w:rsid w:val="00413772"/>
    <w:rsid w:val="004345ED"/>
    <w:rsid w:val="00446EEF"/>
    <w:rsid w:val="004475B7"/>
    <w:rsid w:val="00465601"/>
    <w:rsid w:val="004676AA"/>
    <w:rsid w:val="00475ECE"/>
    <w:rsid w:val="00490C30"/>
    <w:rsid w:val="004A5434"/>
    <w:rsid w:val="004B18C7"/>
    <w:rsid w:val="004C1455"/>
    <w:rsid w:val="004D0F1C"/>
    <w:rsid w:val="004D2505"/>
    <w:rsid w:val="004E1D61"/>
    <w:rsid w:val="004F6233"/>
    <w:rsid w:val="00523400"/>
    <w:rsid w:val="005325D5"/>
    <w:rsid w:val="00543A5C"/>
    <w:rsid w:val="00584B4D"/>
    <w:rsid w:val="00594711"/>
    <w:rsid w:val="005950E3"/>
    <w:rsid w:val="005A7FF7"/>
    <w:rsid w:val="005C0281"/>
    <w:rsid w:val="005D1ED5"/>
    <w:rsid w:val="005E03C2"/>
    <w:rsid w:val="005F4F72"/>
    <w:rsid w:val="006116D0"/>
    <w:rsid w:val="0061351E"/>
    <w:rsid w:val="00613784"/>
    <w:rsid w:val="00631348"/>
    <w:rsid w:val="00636074"/>
    <w:rsid w:val="0065320A"/>
    <w:rsid w:val="00664CB3"/>
    <w:rsid w:val="006651B5"/>
    <w:rsid w:val="00672981"/>
    <w:rsid w:val="00694D6A"/>
    <w:rsid w:val="006A0E1F"/>
    <w:rsid w:val="006B63D3"/>
    <w:rsid w:val="006C0761"/>
    <w:rsid w:val="006C4854"/>
    <w:rsid w:val="006D4C0E"/>
    <w:rsid w:val="006D6E6E"/>
    <w:rsid w:val="006E4F7D"/>
    <w:rsid w:val="00714D0E"/>
    <w:rsid w:val="00721C5B"/>
    <w:rsid w:val="007370D0"/>
    <w:rsid w:val="00754030"/>
    <w:rsid w:val="00763149"/>
    <w:rsid w:val="00770779"/>
    <w:rsid w:val="00796369"/>
    <w:rsid w:val="007D5882"/>
    <w:rsid w:val="00802F9D"/>
    <w:rsid w:val="00820FC5"/>
    <w:rsid w:val="00847457"/>
    <w:rsid w:val="00855180"/>
    <w:rsid w:val="0088776D"/>
    <w:rsid w:val="00893DBA"/>
    <w:rsid w:val="00893DCA"/>
    <w:rsid w:val="008C60D2"/>
    <w:rsid w:val="008C6A01"/>
    <w:rsid w:val="008D4A4E"/>
    <w:rsid w:val="009139D1"/>
    <w:rsid w:val="0092136C"/>
    <w:rsid w:val="00927E2E"/>
    <w:rsid w:val="009510C5"/>
    <w:rsid w:val="00961776"/>
    <w:rsid w:val="009B483D"/>
    <w:rsid w:val="009C4AE2"/>
    <w:rsid w:val="009C7ED0"/>
    <w:rsid w:val="009D5564"/>
    <w:rsid w:val="009F09F5"/>
    <w:rsid w:val="009F493D"/>
    <w:rsid w:val="009F6A46"/>
    <w:rsid w:val="009F6F54"/>
    <w:rsid w:val="00A03403"/>
    <w:rsid w:val="00A04DF0"/>
    <w:rsid w:val="00A432FE"/>
    <w:rsid w:val="00A47729"/>
    <w:rsid w:val="00A515BC"/>
    <w:rsid w:val="00A54CBC"/>
    <w:rsid w:val="00A57A4C"/>
    <w:rsid w:val="00A81F0C"/>
    <w:rsid w:val="00A863A3"/>
    <w:rsid w:val="00AA07EB"/>
    <w:rsid w:val="00AB0137"/>
    <w:rsid w:val="00AC3C55"/>
    <w:rsid w:val="00AC5B1D"/>
    <w:rsid w:val="00AF676C"/>
    <w:rsid w:val="00B054F3"/>
    <w:rsid w:val="00B072B7"/>
    <w:rsid w:val="00B10780"/>
    <w:rsid w:val="00B17FEC"/>
    <w:rsid w:val="00B416F7"/>
    <w:rsid w:val="00B56243"/>
    <w:rsid w:val="00B65EF5"/>
    <w:rsid w:val="00B67606"/>
    <w:rsid w:val="00B94CAF"/>
    <w:rsid w:val="00BA5CD1"/>
    <w:rsid w:val="00BC4102"/>
    <w:rsid w:val="00BC4976"/>
    <w:rsid w:val="00BD577C"/>
    <w:rsid w:val="00BE1972"/>
    <w:rsid w:val="00BE33A1"/>
    <w:rsid w:val="00BF1FB4"/>
    <w:rsid w:val="00C305F0"/>
    <w:rsid w:val="00C33F24"/>
    <w:rsid w:val="00C34EE8"/>
    <w:rsid w:val="00C86FF0"/>
    <w:rsid w:val="00C90DA2"/>
    <w:rsid w:val="00CA21BD"/>
    <w:rsid w:val="00CA2F73"/>
    <w:rsid w:val="00CD0BC2"/>
    <w:rsid w:val="00CE38E0"/>
    <w:rsid w:val="00D017B8"/>
    <w:rsid w:val="00D02A17"/>
    <w:rsid w:val="00D12DAA"/>
    <w:rsid w:val="00D15FE5"/>
    <w:rsid w:val="00D32D24"/>
    <w:rsid w:val="00D666FF"/>
    <w:rsid w:val="00D93C3E"/>
    <w:rsid w:val="00DB03E7"/>
    <w:rsid w:val="00DB72D2"/>
    <w:rsid w:val="00E043F2"/>
    <w:rsid w:val="00E32237"/>
    <w:rsid w:val="00E504DD"/>
    <w:rsid w:val="00E553F3"/>
    <w:rsid w:val="00E6353F"/>
    <w:rsid w:val="00E707C9"/>
    <w:rsid w:val="00E822CC"/>
    <w:rsid w:val="00E86C47"/>
    <w:rsid w:val="00E94A62"/>
    <w:rsid w:val="00EA2F90"/>
    <w:rsid w:val="00EB6806"/>
    <w:rsid w:val="00EC2DD6"/>
    <w:rsid w:val="00ED11A2"/>
    <w:rsid w:val="00EE0D05"/>
    <w:rsid w:val="00EE22C4"/>
    <w:rsid w:val="00EE254C"/>
    <w:rsid w:val="00F13C47"/>
    <w:rsid w:val="00F17719"/>
    <w:rsid w:val="00F31855"/>
    <w:rsid w:val="00F3500B"/>
    <w:rsid w:val="00F54021"/>
    <w:rsid w:val="00F579EE"/>
    <w:rsid w:val="00F81532"/>
    <w:rsid w:val="00F86DE7"/>
    <w:rsid w:val="00F916D4"/>
    <w:rsid w:val="00F95997"/>
    <w:rsid w:val="00FB0CA0"/>
    <w:rsid w:val="00FC4593"/>
    <w:rsid w:val="00FD2D60"/>
    <w:rsid w:val="00FF01B5"/>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3F920F-1D63-42BC-9584-B04B9A6F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4336">
      <w:bodyDiv w:val="1"/>
      <w:marLeft w:val="0"/>
      <w:marRight w:val="0"/>
      <w:marTop w:val="0"/>
      <w:marBottom w:val="0"/>
      <w:divBdr>
        <w:top w:val="none" w:sz="0" w:space="0" w:color="auto"/>
        <w:left w:val="none" w:sz="0" w:space="0" w:color="auto"/>
        <w:bottom w:val="none" w:sz="0" w:space="0" w:color="auto"/>
        <w:right w:val="none" w:sz="0" w:space="0" w:color="auto"/>
      </w:divBdr>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064903">
      <w:bodyDiv w:val="1"/>
      <w:marLeft w:val="0"/>
      <w:marRight w:val="0"/>
      <w:marTop w:val="0"/>
      <w:marBottom w:val="0"/>
      <w:divBdr>
        <w:top w:val="none" w:sz="0" w:space="0" w:color="auto"/>
        <w:left w:val="none" w:sz="0" w:space="0" w:color="auto"/>
        <w:bottom w:val="none" w:sz="0" w:space="0" w:color="auto"/>
        <w:right w:val="none" w:sz="0" w:space="0" w:color="auto"/>
      </w:divBdr>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36063">
      <w:bodyDiv w:val="1"/>
      <w:marLeft w:val="0"/>
      <w:marRight w:val="0"/>
      <w:marTop w:val="0"/>
      <w:marBottom w:val="0"/>
      <w:divBdr>
        <w:top w:val="none" w:sz="0" w:space="0" w:color="auto"/>
        <w:left w:val="none" w:sz="0" w:space="0" w:color="auto"/>
        <w:bottom w:val="none" w:sz="0" w:space="0" w:color="auto"/>
        <w:right w:val="none" w:sz="0" w:space="0" w:color="auto"/>
      </w:divBdr>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06918">
      <w:bodyDiv w:val="1"/>
      <w:marLeft w:val="0"/>
      <w:marRight w:val="0"/>
      <w:marTop w:val="0"/>
      <w:marBottom w:val="0"/>
      <w:divBdr>
        <w:top w:val="none" w:sz="0" w:space="0" w:color="auto"/>
        <w:left w:val="none" w:sz="0" w:space="0" w:color="auto"/>
        <w:bottom w:val="none" w:sz="0" w:space="0" w:color="auto"/>
        <w:right w:val="none" w:sz="0" w:space="0" w:color="auto"/>
      </w:divBdr>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98837">
      <w:bodyDiv w:val="1"/>
      <w:marLeft w:val="0"/>
      <w:marRight w:val="0"/>
      <w:marTop w:val="0"/>
      <w:marBottom w:val="0"/>
      <w:divBdr>
        <w:top w:val="none" w:sz="0" w:space="0" w:color="auto"/>
        <w:left w:val="none" w:sz="0" w:space="0" w:color="auto"/>
        <w:bottom w:val="none" w:sz="0" w:space="0" w:color="auto"/>
        <w:right w:val="none" w:sz="0" w:space="0" w:color="auto"/>
      </w:divBdr>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3516">
      <w:bodyDiv w:val="1"/>
      <w:marLeft w:val="0"/>
      <w:marRight w:val="0"/>
      <w:marTop w:val="0"/>
      <w:marBottom w:val="0"/>
      <w:divBdr>
        <w:top w:val="none" w:sz="0" w:space="0" w:color="auto"/>
        <w:left w:val="none" w:sz="0" w:space="0" w:color="auto"/>
        <w:bottom w:val="none" w:sz="0" w:space="0" w:color="auto"/>
        <w:right w:val="none" w:sz="0" w:space="0" w:color="auto"/>
      </w:divBdr>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3018</Words>
  <Characters>17209</Characters>
  <Application>Microsoft Office Word</Application>
  <DocSecurity>0</DocSecurity>
  <Lines>143</Lines>
  <Paragraphs>40</Paragraphs>
  <ScaleCrop>false</ScaleCrop>
  <Company>Microsoft</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2025-11-21T02:26:00Z</dcterms:created>
  <dcterms:modified xsi:type="dcterms:W3CDTF">2025-11-21T02:26:00Z</dcterms:modified>
</cp:coreProperties>
</file>