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B14435" w:rsidP="00347411">
      <w:pPr>
        <w:jc w:val="center"/>
        <w:rPr>
          <w:rFonts w:ascii="Arial" w:hAnsi="Arial" w:cs="Arial" w:hint="eastAsia"/>
          <w:b/>
          <w:sz w:val="28"/>
          <w:szCs w:val="28"/>
        </w:rPr>
      </w:pPr>
      <w:r w:rsidRPr="00B14435">
        <w:rPr>
          <w:rFonts w:ascii="Arial" w:hAnsi="Arial" w:cs="Arial"/>
          <w:b/>
          <w:sz w:val="28"/>
          <w:szCs w:val="28"/>
        </w:rPr>
        <w:t>Urban Studies</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425DB7">
        <w:rPr>
          <w:rFonts w:ascii="Arial" w:hAnsi="Arial" w:cs="Arial"/>
          <w:b/>
          <w:sz w:val="22"/>
          <w:szCs w:val="22"/>
        </w:rPr>
        <w:t>60</w:t>
      </w:r>
      <w:r w:rsidRPr="00E822CC">
        <w:rPr>
          <w:rFonts w:ascii="Arial" w:hAnsi="Arial" w:cs="Arial"/>
          <w:b/>
          <w:sz w:val="22"/>
          <w:szCs w:val="22"/>
        </w:rPr>
        <w:t xml:space="preserve">, Issue </w:t>
      </w:r>
      <w:r w:rsidR="00425DB7">
        <w:rPr>
          <w:rFonts w:ascii="Arial" w:hAnsi="Arial" w:cs="Arial"/>
          <w:b/>
          <w:sz w:val="22"/>
          <w:szCs w:val="22"/>
        </w:rPr>
        <w:t>5</w:t>
      </w:r>
      <w:r w:rsidRPr="00E822CC">
        <w:rPr>
          <w:rFonts w:ascii="Arial" w:hAnsi="Arial" w:cs="Arial"/>
          <w:b/>
          <w:sz w:val="22"/>
          <w:szCs w:val="22"/>
        </w:rPr>
        <w:t xml:space="preserve">, </w:t>
      </w:r>
      <w:r w:rsidR="00F10951" w:rsidRPr="00F10951">
        <w:rPr>
          <w:rFonts w:ascii="Arial" w:hAnsi="Arial" w:cs="Arial"/>
          <w:b/>
          <w:sz w:val="22"/>
          <w:szCs w:val="22"/>
        </w:rPr>
        <w:t>April</w:t>
      </w:r>
      <w:r w:rsidR="00425DB7">
        <w:rPr>
          <w:rFonts w:ascii="Arial" w:hAnsi="Arial" w:cs="Arial"/>
          <w:b/>
          <w:sz w:val="22"/>
          <w:szCs w:val="22"/>
        </w:rPr>
        <w:t xml:space="preserve"> </w:t>
      </w:r>
      <w:r w:rsidR="0065320A">
        <w:rPr>
          <w:rFonts w:ascii="Arial" w:hAnsi="Arial" w:cs="Arial"/>
          <w:b/>
          <w:sz w:val="22"/>
          <w:szCs w:val="22"/>
        </w:rPr>
        <w:t>20</w:t>
      </w:r>
      <w:r w:rsidR="005D1ED5">
        <w:rPr>
          <w:rFonts w:ascii="Arial" w:hAnsi="Arial" w:cs="Arial"/>
          <w:b/>
          <w:sz w:val="22"/>
          <w:szCs w:val="22"/>
        </w:rPr>
        <w:t>23</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B14435" w:rsidRPr="00B14435">
        <w:rPr>
          <w:rFonts w:ascii="Arial" w:hAnsi="Arial" w:cs="Arial"/>
          <w:b/>
        </w:rPr>
        <w:t>To move forward, we must look back: White supremacy at the base of urban studies</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B14435" w:rsidRPr="00B14435">
        <w:rPr>
          <w:rFonts w:ascii="Arial" w:hAnsi="Arial" w:cs="Arial"/>
          <w:b/>
        </w:rPr>
        <w:t>Miguel Angel Montalva Barba</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B14435" w:rsidRPr="00B14435">
        <w:rPr>
          <w:rFonts w:ascii="Arial" w:hAnsi="Arial" w:cs="Arial"/>
        </w:rPr>
        <w:t>The concretisation of the Chicago School solidified and inscribed in the city their obsession with the ‘Negro Problem’, race, race relations and (im)migration. Their fixation not only framed modern sociology with an emphasis on the ‘Other’ but cemented a taken-for-granted undergirding of Whiteness at its base. As a discipline, until we can name, point out, understand and highlight that form of violence, urban sociology will be deficient in understanding the city, particularly, but not limited to the US. As an alternative, I offer Du Boisian sociology, critical race theory, and global critical race and racism to aid in moving away from an unstated Whiteness. This article shows how Whiteness is at the base of the urban question and its consequences via the trajectory of the first sociologists of colour trained at the Chicago School, the work on the ghetto, underclass and the effects of such work.</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B14435" w:rsidRPr="00B14435">
        <w:rPr>
          <w:rFonts w:ascii="Arial" w:hAnsi="Arial" w:cs="Arial"/>
          <w:b/>
        </w:rPr>
        <w:t>Regressive revenue sourcing by local governments</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B14435" w:rsidRPr="00B14435">
        <w:rPr>
          <w:rFonts w:ascii="Arial" w:hAnsi="Arial" w:cs="Arial"/>
          <w:b/>
        </w:rPr>
        <w:t>Thai V Le, Matthew M Young</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B14435" w:rsidRPr="00B14435">
        <w:rPr>
          <w:rFonts w:ascii="Arial" w:hAnsi="Arial" w:cs="Arial"/>
        </w:rPr>
        <w:t>Emerging work in fiscal sociology examines the intersection of race/ethnicity, inequality and taxation, and suggests that localities are increasingly turning to nontax alternatives such as fines, fees and forfeitures to fill revenue gaps and service demands. These revenue sources are regressive and discriminatory as they disproportionately affect low-income racially/ethnically minoritised groups. We assess the extent to which local municipalities in California are more dependent on regressive nontax revenue sources, and if increases are correlated with a city’s racial/ethnic composition. We use fixed-effects estimators on panel fiscal data from the California State Controller Office’s Cities Annual Reports between 2002 and 2016 for our analysis. We further exploit our time period to determine how fiscal crises like the Great Recession compound race/ethnicity-driven finance disparities. Our results suggest the proportion of Latinx/Hispanic in a city’s population is positively and statistically associated with an increase in a city’s reliance on fines, fees and forfeitures. These results suggest concerns of discriminatory and regressive revenue sourcing by local governments that further perpetuate racial inequality and poverty. In aggregate, relative to other years in our analysis, the growth rate of fines, fees and forfeitures as a portion of total own-source revenue saw higher increases during the Great Recession, a time of heightened financial insecurity among low-income, Latinx/Hispanic and Black households.</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CE12D0" w:rsidRPr="00CE12D0">
        <w:rPr>
          <w:rFonts w:ascii="Arial" w:hAnsi="Arial" w:cs="Arial"/>
          <w:b/>
        </w:rPr>
        <w:t>Community-led housing: Between ‘right to the city’, ‘actually existing neoliberalism’ and post-pandemic cities</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CE12D0" w:rsidRPr="00CE12D0">
        <w:rPr>
          <w:rFonts w:ascii="Arial" w:hAnsi="Arial" w:cs="Arial"/>
          <w:b/>
        </w:rPr>
        <w:t>María Carla Rodríguez, María Cecilia Zapata</w:t>
      </w:r>
    </w:p>
    <w:p w:rsidR="004E1D61" w:rsidRPr="00130569" w:rsidRDefault="009F6F54" w:rsidP="009F6F54">
      <w:pPr>
        <w:rPr>
          <w:rFonts w:ascii="Arial" w:hAnsi="Arial" w:cs="Arial"/>
        </w:rPr>
      </w:pPr>
      <w:r w:rsidRPr="009F6F54">
        <w:rPr>
          <w:rFonts w:ascii="Arial" w:hAnsi="Arial" w:cs="Arial"/>
          <w:b/>
        </w:rPr>
        <w:lastRenderedPageBreak/>
        <w:t>Abstract:</w:t>
      </w:r>
      <w:r w:rsidRPr="00290BBB">
        <w:rPr>
          <w:rFonts w:ascii="Arial" w:hAnsi="Arial" w:cs="Arial" w:hint="eastAsia"/>
        </w:rPr>
        <w:t xml:space="preserve"> </w:t>
      </w:r>
      <w:r w:rsidR="00CE12D0" w:rsidRPr="00CE12D0">
        <w:rPr>
          <w:rFonts w:ascii="Arial" w:hAnsi="Arial" w:cs="Arial"/>
        </w:rPr>
        <w:t>This paper examines the Self-Managed Housing Program (Law 341), in Buenos Aires, Argentina. This programme created 45 cooperative housing units between 2001 and 2020 in consolidated urban areas currently undergoing renewal processes. It investigates the conditions that the programme has generated for the realisation of the ‘right to the city’ in the context of ‘actually existing neoliberalism’ and challenges posed by the COVID-19 pandemic. This paper analyses the origins of the process and mode of cooperative housing production, including tangible and intangible aspects and capacities acquired by the inhabitants. This study used a mixed quantitative and qualitative methodology. The analytical strategy focused on defining a set of dimensions that characterised the self-managed mode of production, conditions of social and urban insertion in the case studied and participants’ perceptions of the influence of material characteristics and organisational arrangements during the pandemic. This paper contributes to our understanding of the socio-economic dynamics in the production of urban space by elucidating the role of the state and specific tensions arising due to bottom-up policies, specific forms adopted by urban experiences of resistance and their contribution in the promotion of concrete conditions of urban life. Finally, this paper characterises an emergent self-managed urbanism and reflects on its possibilities of dialogue with the construction of alternative local policies that challenge growing territorial inequality caused by the subordination of policies to real estate financialisation and its deepening tendencies in the pandemic context.</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CE12D0" w:rsidRPr="00CE12D0">
        <w:rPr>
          <w:rFonts w:ascii="Arial" w:hAnsi="Arial" w:cs="Arial"/>
          <w:b/>
        </w:rPr>
        <w:t>The effect of meeting opportunities on local urban residents’ prejudice against migrant children in China</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CE12D0" w:rsidRPr="00CE12D0">
        <w:rPr>
          <w:rFonts w:ascii="Arial" w:hAnsi="Arial" w:cs="Arial"/>
          <w:b/>
        </w:rPr>
        <w:t>Jaap Nieuwenhuis, Xinyi Shen</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CE12D0" w:rsidRPr="00CE12D0">
        <w:rPr>
          <w:rFonts w:ascii="Arial" w:hAnsi="Arial" w:cs="Arial"/>
        </w:rPr>
        <w:t>This article explores the effect of meeting opportunities between local urban and nonlocal residents on locals’ prejudice against migrant children in China by focusing on three contexts: friendships, schools and neighbourhoods. China’s hukou policy creates a boundary between urban and rural residents, which also takes the form of locals and nonlocals in rural-to-urban migration. Urban public schools with a mix of local and migrant students offer a chance to observe the intergroup relationships between local and nonlocal students as well as their parents. Using two waves of data from the China Education Panel Survey (CEPS), this study examines how changes in migrant friend groups, schoolmates and neighbours of local children affect changes in their parents’ prejudice, as seen among a sample of 1630 student-parent pairs. With longitudinal data, this study mitigates the effect of reverse causality between intergroup contact and prejudice. The findings show that parents whose children have more migrant friends have less prejudice, under certain conditions. Additionally, more nonlocal students in a school relates to less prejudice, especially among parents who are more embedded in the school life. Furthermore, local families with low socio-economic status experience an increase in prejudice, potentially due to an increased feeling of threat. Additionally, this article finds that prejudiced attitudes spread through the social networks of children and parents at the school level. This study emphasises the importance of different contexts of meeting opportunities and sheds new light on the generalisability of the (extended) contact hypothesis to the understudied context of Chinese internal migration.</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lastRenderedPageBreak/>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CE12D0" w:rsidRPr="00CE12D0">
        <w:rPr>
          <w:rFonts w:ascii="Arial" w:hAnsi="Arial" w:cs="Arial"/>
          <w:b/>
        </w:rPr>
        <w:t>Discontinuous structure of regional and subregional urban systems: Nouvelle-Aquitaine, France (1800–2015)</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CE12D0" w:rsidRPr="00CE12D0">
        <w:rPr>
          <w:rFonts w:ascii="Arial" w:hAnsi="Arial" w:cs="Arial"/>
          <w:b/>
        </w:rPr>
        <w:t>Aurélie Lalanne, Shana Sundstrom, Ahjond Garmestani</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CE12D0" w:rsidRPr="00CE12D0">
        <w:rPr>
          <w:rFonts w:ascii="Arial" w:hAnsi="Arial" w:cs="Arial"/>
        </w:rPr>
        <w:t>In the prevailing literature in urban economics, conducting research on urban systems at the national scale tends to provide an elegant but reductive approach to the functioning of these systems, assuming, in particular, that city size distributions are continuous. Based on an alternative framework drawing from research in ecology and complex adaptive systems, this article questions this approach by testing the discontinuity hypothesis within regional urban systems in France using two methods and long-term census data (1800–2015). We found that the distribution of city sizes over the 200+ years of population data from the Nouvelle-Aquitaine region was discontinuous for every year of data. The distributions consist of groups of similarly sized cities, separated by gaps (discontinuities) where there are no cities at all. The location and number of discontinuities were conservative over time, suggesting that the processes shaping size classes are conservative and largely independent of societal disturbances such as wars. The two methods used to identify discontinuities were highly congruent. Finally, the Nouvelle-Aquitaine region is comprised of three former regions, Aquitaine, Limousin and Poitou-Charentes, each of which also had discontinuous city size distributions with conservative structures over time. The study results question the traditional expectations about the growth and development of urban systems.</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CE12D0" w:rsidRPr="00CE12D0">
        <w:rPr>
          <w:rFonts w:ascii="Arial" w:hAnsi="Arial" w:cs="Arial"/>
          <w:b/>
        </w:rPr>
        <w:t>Contextual poverty and obtained educational level and income in Sweden and the Netherlands: A multi-scale and longitudinal study</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CE12D0" w:rsidRPr="00CE12D0">
        <w:rPr>
          <w:rFonts w:ascii="Arial" w:hAnsi="Arial" w:cs="Arial"/>
          <w:b/>
        </w:rPr>
        <w:t>Eva Andersson, Heleen Janssen, Maarten van Ham, Bo Malmberg</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CE12D0" w:rsidRPr="00CE12D0">
        <w:rPr>
          <w:rFonts w:ascii="Arial" w:hAnsi="Arial" w:cs="Arial"/>
        </w:rPr>
        <w:t>Studies of neighbourhood effects typically measure the neighbourhood context at one specific spatial scale. It is increasingly acknowledged, however, that the mechanisms through which the residential context affects individual outcomes may operate at different spatial scales, ranging from the very immediate environment to the metropolitan region. We take a multi-scale approach to investigate the extent to which concentrated poverty in adolescence is related to obtained education level and income later in life, by measuring the residential context as bespoke neighbourhoods at five geographical scales that range from areas encompassing the 200 nearest neighbours to areas that include the 200k+ nearest neighbours. We use individual-level geocoded longitudinal register data from Sweden and the Netherlands to follow 15/16-year-olds until they are 30 years old. The findings show that the contextual effects on education are very similar in both countries. Living in a poor area as a teenager is related to a lower obtained educational level when people are in their late 20s. This relationship, however, is stronger for lower spatial scales. We also find effects of contextual poverty on income in both countries. Overall, this effect is stronger in the Netherlands than in Sweden. Partly, this is related to differences in spatial structure. If only individuals in densely populated areas in Sweden are considered, effects on income are similar across the two countries and income effects are more stable across spatial scales. Overall, we find important evidence that the scalar properties of neighbourhood effects differ across life-course outcomes.</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lastRenderedPageBreak/>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CE12D0" w:rsidRPr="00CE12D0">
        <w:rPr>
          <w:rFonts w:ascii="Arial" w:hAnsi="Arial" w:cs="Arial"/>
          <w:b/>
        </w:rPr>
        <w:t>The political economy of land expropriation in urban Bangladesh</w:t>
      </w:r>
    </w:p>
    <w:p w:rsidR="00A47729" w:rsidRPr="00BC4976" w:rsidRDefault="00FF7C1A" w:rsidP="00FF7C1A">
      <w:pPr>
        <w:rPr>
          <w:rFonts w:ascii="Arial" w:hAnsi="Arial" w:cs="Arial" w:hint="eastAsia"/>
          <w:b/>
        </w:rPr>
      </w:pPr>
      <w:r w:rsidRPr="00FF7C1A">
        <w:rPr>
          <w:rFonts w:ascii="Arial" w:hAnsi="Arial" w:cs="Arial"/>
          <w:b/>
        </w:rPr>
        <w:t xml:space="preserve">Authors: </w:t>
      </w:r>
      <w:r w:rsidR="00CE12D0" w:rsidRPr="00CE12D0">
        <w:rPr>
          <w:rFonts w:ascii="Arial" w:hAnsi="Arial" w:cs="Arial"/>
          <w:b/>
        </w:rPr>
        <w:t>Lipon Mondal</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CE12D0" w:rsidRPr="00CE12D0">
        <w:rPr>
          <w:rFonts w:ascii="Arial" w:hAnsi="Arial" w:cs="Arial"/>
        </w:rPr>
        <w:t>This paper explores the 71-year (1947–2018) history of land expropriation in urban Bangladesh. It examines three interrelated questions regarding land occupation. First, how does the state and market pursue their mutual and competing class interests by expropriating land? Next, how does the state and market deploy primarily extra-economic means to seize land? Finally, how do actors, strategies and purposes of land expropriation vary from one political regime to another? This article addresses these questions by engaging with extant theories of land dispossession and class analysis and collecting a wide range of empirical evidence from Dhaka, Bangladesh. It argues that state and market actors in different political regimes use extra-economic means to accumulate land, creating preconditions for capitalism and expanding the existing capitalist system. To elaborate on this argument, it examines three factors of land expropriation: class, power and structure. The class dimension examines state and market actors who pursue their respective class interests by grabbing land. The power dimension explores land occupation strategies: who can use what forms of legal or illegal means to expropriate land. The structural factor shows how actors, methods, and purposes of land accumulation vary from regime to regime. Overall, this paper examines historical and contemporary forms of class interests attached to land accumulation, distinct mechanisms and purposes of land expropriation, and the nature of capitalist transformation under various political regimes.</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CE12D0" w:rsidRPr="00CE12D0">
        <w:rPr>
          <w:rFonts w:ascii="Arial" w:hAnsi="Arial" w:cs="Arial"/>
          <w:b/>
        </w:rPr>
        <w:t>Re-contextualising purpose-built student accommodation in secondary cities: The role of planning policy, consultation and economic need during austerity</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CE12D0" w:rsidRPr="00CE12D0">
        <w:rPr>
          <w:rFonts w:ascii="Arial" w:hAnsi="Arial" w:cs="Arial"/>
          <w:b/>
        </w:rPr>
        <w:t>Julia Heslop, Josh Chambers, James Maloney, George Spurgeon, Hannah Swainston, Hannah Woodall</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E12D0" w:rsidRPr="00CE12D0">
        <w:rPr>
          <w:rFonts w:ascii="Arial" w:hAnsi="Arial" w:cs="Arial"/>
        </w:rPr>
        <w:t>The rise of purpose-built student accommodation (PBSA) has become a dominant feature of many secondary cities over the last decade. These cities often have weaker property markets than ‘primary’ or capital cities and often rely on the ‘knowledge economy’ to drive economic and urban development. A growing body of work has explored the effects of ‘new-build studentification’ and its relationship to economic crisis and the financialisation of housing. Less attention has been paid to how the localised political and economic impacts of austerity led to the creation of particular planning policies and actions to facilitate PBSA. Through a case study of a housing estate in Newcastle upon Tyne, UK, whose ward has seen a 467% increase in student housing numbers, this article highlights that student housing is shaped not merely by issues of supply and demand but also often by planning practice and local economic demands. Whilst we recognise that PBSA development is also reliant on particular global economic conditions and investment strategies, this article calls for a more relational, contextual approach to examining PBSA. We pay specific attention to local political and institutional actors and their policies, working practices and social constructs amidst austerity.</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CE12D0" w:rsidRPr="00CE12D0">
        <w:rPr>
          <w:rFonts w:ascii="Arial" w:hAnsi="Arial" w:cs="Arial"/>
          <w:b/>
        </w:rPr>
        <w:t>Age segregation and housing unaffordability: Generational divides in housing opportunities and spatial polarisation in England and Wales</w:t>
      </w:r>
    </w:p>
    <w:p w:rsidR="00A47729" w:rsidRPr="00BC4976" w:rsidRDefault="00A57A4C" w:rsidP="00A57A4C">
      <w:pPr>
        <w:rPr>
          <w:rFonts w:ascii="Arial" w:hAnsi="Arial" w:cs="Arial" w:hint="eastAsia"/>
          <w:b/>
        </w:rPr>
      </w:pPr>
      <w:r w:rsidRPr="00A57A4C">
        <w:rPr>
          <w:rFonts w:ascii="Arial" w:hAnsi="Arial" w:cs="Arial"/>
          <w:b/>
        </w:rPr>
        <w:t xml:space="preserve">Authors: </w:t>
      </w:r>
      <w:r w:rsidR="00CE12D0" w:rsidRPr="00CE12D0">
        <w:rPr>
          <w:rFonts w:ascii="Arial" w:hAnsi="Arial" w:cs="Arial"/>
          <w:b/>
        </w:rPr>
        <w:t>Albert Sabater, Nissa Finney</w:t>
      </w:r>
    </w:p>
    <w:p w:rsidR="00A47729" w:rsidRPr="00BC4976" w:rsidRDefault="00A47729" w:rsidP="00A47729">
      <w:pPr>
        <w:rPr>
          <w:rFonts w:ascii="Arial" w:hAnsi="Arial" w:cs="Arial" w:hint="eastAsia"/>
        </w:rPr>
      </w:pPr>
      <w:r w:rsidRPr="00C33F24">
        <w:rPr>
          <w:rFonts w:ascii="Arial" w:hAnsi="Arial" w:cs="Arial"/>
          <w:b/>
        </w:rPr>
        <w:lastRenderedPageBreak/>
        <w:t>Abstract:</w:t>
      </w:r>
      <w:r w:rsidRPr="00130569">
        <w:rPr>
          <w:rFonts w:ascii="Arial" w:hAnsi="Arial" w:cs="Arial" w:hint="eastAsia"/>
        </w:rPr>
        <w:t xml:space="preserve"> </w:t>
      </w:r>
      <w:r w:rsidR="00CE12D0" w:rsidRPr="00CE12D0">
        <w:rPr>
          <w:rFonts w:ascii="Arial" w:hAnsi="Arial" w:cs="Arial"/>
        </w:rPr>
        <w:t>Age is an important known driver of residential sorting, yet little is understood about how age segregation is affected by housing unaffordability. This relationship is particularly pertinent given trends of increasing housing inequalities and population ageing, in Europe and elsewhere. Using harmonised population data for small areas linked with local house price statistics and household incomes in England and Wales, this paper examines the scale of, and links between, residential age segregation and housing unaffordability. The results reveal a strong association between increasing housing unaffordability (for sales and rentals) and increasing residential age segregation (beyond other local characteristics). This association is particularly marked in urban and rich (least deprived) areas. This points to increasing spatial polarisation along the intersections of wealth and age: not only are the wealthiest parts of the country, where housing is particularly unaffordable, becoming increasingly demarcated socio-economically but also by age. This implies that age-related life course processes are integral to the trends observed more broadly of increasing socio-spatial polarisation.</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CE12D0" w:rsidRPr="00CE12D0">
        <w:rPr>
          <w:rFonts w:ascii="Arial" w:hAnsi="Arial" w:cs="Arial"/>
          <w:b/>
        </w:rPr>
        <w:t>Can residents regain their community relations after resettlement? Insights from Shanghai</w:t>
      </w:r>
    </w:p>
    <w:p w:rsidR="00A47729" w:rsidRPr="00BC4976" w:rsidRDefault="00105FFF" w:rsidP="00105FFF">
      <w:pPr>
        <w:rPr>
          <w:rFonts w:ascii="Arial" w:hAnsi="Arial" w:cs="Arial" w:hint="eastAsia"/>
          <w:b/>
        </w:rPr>
      </w:pPr>
      <w:r w:rsidRPr="00105FFF">
        <w:rPr>
          <w:rFonts w:ascii="Arial" w:hAnsi="Arial" w:cs="Arial"/>
          <w:b/>
        </w:rPr>
        <w:t xml:space="preserve">Authors: </w:t>
      </w:r>
      <w:r w:rsidR="00CE12D0" w:rsidRPr="00CE12D0">
        <w:rPr>
          <w:rFonts w:ascii="Arial" w:hAnsi="Arial" w:cs="Arial"/>
          <w:b/>
        </w:rPr>
        <w:t>Zheng Wang, Jie Shen, Xiang Luo</w:t>
      </w:r>
    </w:p>
    <w:p w:rsidR="00A47729"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CE12D0" w:rsidRPr="00CE12D0">
        <w:rPr>
          <w:rFonts w:ascii="Arial" w:hAnsi="Arial" w:cs="Arial"/>
        </w:rPr>
        <w:t>This article investigates whether residents have been able to regain their sense of belonging and neighbourliness after being resettled in urban China and what factors have prevented or enabled them to do so. There is a growing body of work examining the post-resettlement community relations of residents. However, this process of community rebuilding is mostly understood as resident-led and little is known about the role and influence of state actions such as state-led community building and changing resettlement policies. Our study addresses this gap by drawing on the case of Hesha Hangcheng which is one of Shanghai’s major relocation settlements. Our findings, from analysing a household survey and interviews, show that the sense of belonging and neighbourly relations of residents are poorer compared to before they were resettled. The analysis further reveals that residents who are more satisfied with their new housing and neighbourhood tend to have better neighbourly relations and sense of belonging compared to those who are not satisfied and feel they have lost out from the resettlement. Additionally, the state’s efforts in rebuilding communities by providing more community organisations and activities have given residents a platform to encounter each other and help facilitate neighbourliness and a sense of belonging. Theoretically, our study contributes by revealing the interplay between residents and state-led community rebuilding efforts and how they have affected post-resettlement community relations.</w:t>
      </w:r>
    </w:p>
    <w:p w:rsidR="00CE12D0" w:rsidRPr="006E4F7D" w:rsidRDefault="00CE12D0" w:rsidP="00A47729">
      <w:pPr>
        <w:rPr>
          <w:rFonts w:ascii="Arial" w:hAnsi="Arial" w:cs="Arial" w:hint="eastAsia"/>
        </w:rPr>
      </w:pPr>
    </w:p>
    <w:p w:rsidR="00015B18" w:rsidRDefault="00015B18" w:rsidP="00015B18">
      <w:pPr>
        <w:rPr>
          <w:rFonts w:ascii="Verdana" w:hAnsi="Verdana" w:hint="eastAsia"/>
          <w:b/>
        </w:rPr>
      </w:pPr>
      <w:r>
        <w:rPr>
          <w:rFonts w:ascii="Verdana" w:hAnsi="Verdana" w:hint="eastAsia"/>
          <w:b/>
        </w:rPr>
        <w:t>以下是书评</w:t>
      </w:r>
      <w:r w:rsidR="00A515BC">
        <w:rPr>
          <w:rFonts w:ascii="Verdana" w:hAnsi="Verdana" w:hint="eastAsia"/>
          <w:b/>
        </w:rPr>
        <w:t>：</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CE12D0" w:rsidRPr="00CE12D0">
        <w:rPr>
          <w:rFonts w:ascii="Arial" w:hAnsi="Arial" w:cs="Arial"/>
          <w:b/>
        </w:rPr>
        <w:t>Creating Chinese Urbanism: Urban Revolution and Governance Changes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CE12D0" w:rsidRPr="00CE12D0">
        <w:rPr>
          <w:rFonts w:ascii="Arial" w:hAnsi="Arial" w:cs="Arial"/>
          <w:b/>
        </w:rPr>
        <w:t>Junxi Qian</w:t>
      </w:r>
    </w:p>
    <w:p w:rsidR="00A47729" w:rsidRPr="00015B18"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3D23D1" w:rsidRPr="003D23D1">
        <w:rPr>
          <w:rFonts w:ascii="Arial" w:hAnsi="Arial" w:cs="Arial"/>
        </w:rPr>
        <w:t>The article reviews the book “</w:t>
      </w:r>
      <w:r w:rsidR="005A3BD0" w:rsidRPr="005A3BD0">
        <w:rPr>
          <w:rFonts w:ascii="Arial" w:hAnsi="Arial" w:cs="Arial"/>
        </w:rPr>
        <w:t>Creating Chinese Urbanism: Urban Revolution and Governance Changes</w:t>
      </w:r>
      <w:r w:rsidR="003D23D1" w:rsidRPr="003D23D1">
        <w:rPr>
          <w:rFonts w:ascii="Arial" w:hAnsi="Arial" w:cs="Arial"/>
        </w:rPr>
        <w:t>” by</w:t>
      </w:r>
      <w:r w:rsidR="005A3BD0">
        <w:rPr>
          <w:rFonts w:ascii="Arial" w:hAnsi="Arial" w:cs="Arial"/>
        </w:rPr>
        <w:t xml:space="preserve"> </w:t>
      </w:r>
      <w:r w:rsidR="005A3BD0" w:rsidRPr="005A3BD0">
        <w:rPr>
          <w:rFonts w:ascii="Arial" w:hAnsi="Arial" w:cs="Arial"/>
        </w:rPr>
        <w:t>Fulong Wu</w:t>
      </w:r>
      <w:r w:rsidR="005A3BD0">
        <w:rPr>
          <w:rFonts w:ascii="Arial" w:hAnsi="Arial" w:cs="Arial"/>
        </w:rPr>
        <w:t xml:space="preserve">. </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lastRenderedPageBreak/>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D23D1" w:rsidRPr="003D23D1">
        <w:rPr>
          <w:rFonts w:ascii="Arial" w:hAnsi="Arial" w:cs="Arial"/>
          <w:b/>
        </w:rPr>
        <w:t>Urban Informal Settlements: Chengzhongcun and Chinese Urbanism</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r w:rsidR="003D23D1" w:rsidRPr="003D23D1">
        <w:rPr>
          <w:rFonts w:ascii="Arial" w:hAnsi="Arial" w:cs="Arial"/>
          <w:b/>
        </w:rPr>
        <w:t>Fanghao Chen</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D23D1" w:rsidRPr="003D23D1">
        <w:rPr>
          <w:rFonts w:ascii="Arial" w:hAnsi="Arial" w:cs="Arial"/>
        </w:rPr>
        <w:t>The article reviews the book “</w:t>
      </w:r>
      <w:r w:rsidR="005A3BD0" w:rsidRPr="005A3BD0">
        <w:rPr>
          <w:rFonts w:ascii="Arial" w:hAnsi="Arial" w:cs="Arial"/>
        </w:rPr>
        <w:t>Urban Informal Settlements: Chengzhongcun and Chinese Urbanism</w:t>
      </w:r>
      <w:r w:rsidR="003D23D1" w:rsidRPr="003D23D1">
        <w:rPr>
          <w:rFonts w:ascii="Arial" w:hAnsi="Arial" w:cs="Arial"/>
        </w:rPr>
        <w:t>” by</w:t>
      </w:r>
      <w:r w:rsidR="005A3BD0">
        <w:rPr>
          <w:rFonts w:ascii="Arial" w:hAnsi="Arial" w:cs="Arial"/>
        </w:rPr>
        <w:t xml:space="preserve"> </w:t>
      </w:r>
      <w:r w:rsidR="005A3BD0" w:rsidRPr="005A3BD0">
        <w:rPr>
          <w:rFonts w:ascii="Arial" w:hAnsi="Arial" w:cs="Arial"/>
        </w:rPr>
        <w:t>Yannan Ding</w:t>
      </w:r>
      <w:r w:rsidR="005A3BD0">
        <w:rPr>
          <w:rFonts w:ascii="Arial" w:hAnsi="Arial" w:cs="Arial"/>
        </w:rPr>
        <w:t xml:space="preserve">. </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3D23D1" w:rsidRPr="003D23D1">
        <w:rPr>
          <w:rFonts w:ascii="Arial" w:hAnsi="Arial" w:cs="Arial"/>
          <w:b/>
        </w:rPr>
        <w:t>In-betweenness in Greater Khartoum: Spaces, Temporalities, and Identities from Separation to Revolution</w:t>
      </w:r>
    </w:p>
    <w:p w:rsidR="00A47729" w:rsidRPr="00015B18" w:rsidRDefault="00E553F3" w:rsidP="00E553F3">
      <w:pPr>
        <w:rPr>
          <w:rFonts w:ascii="Arial" w:hAnsi="Arial" w:cs="Arial" w:hint="eastAsia"/>
          <w:b/>
        </w:rPr>
      </w:pPr>
      <w:r w:rsidRPr="00E553F3">
        <w:rPr>
          <w:rFonts w:ascii="Arial" w:hAnsi="Arial" w:cs="Arial"/>
          <w:b/>
        </w:rPr>
        <w:t xml:space="preserve">Authors: </w:t>
      </w:r>
      <w:r w:rsidR="003D23D1" w:rsidRPr="003D23D1">
        <w:rPr>
          <w:rFonts w:ascii="Arial" w:hAnsi="Arial" w:cs="Arial"/>
          <w:b/>
        </w:rPr>
        <w:t>Eric Denis</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D23D1" w:rsidRPr="003D23D1">
        <w:rPr>
          <w:rFonts w:ascii="Arial" w:hAnsi="Arial" w:cs="Arial"/>
        </w:rPr>
        <w:t>The article reviews the book “</w:t>
      </w:r>
      <w:r w:rsidR="006E69FC" w:rsidRPr="006E69FC">
        <w:rPr>
          <w:rFonts w:ascii="Arial" w:hAnsi="Arial" w:cs="Arial"/>
        </w:rPr>
        <w:t>In-betweenness in Greater Khartoum: Spaces, Temporalities, and Identities from Separation to Revolution</w:t>
      </w:r>
      <w:r w:rsidR="003D23D1" w:rsidRPr="003D23D1">
        <w:rPr>
          <w:rFonts w:ascii="Arial" w:hAnsi="Arial" w:cs="Arial"/>
        </w:rPr>
        <w:t>” by</w:t>
      </w:r>
      <w:r w:rsidR="006E69FC">
        <w:rPr>
          <w:rFonts w:ascii="Arial" w:hAnsi="Arial" w:cs="Arial"/>
        </w:rPr>
        <w:t xml:space="preserve"> Alice Franck and</w:t>
      </w:r>
      <w:r w:rsidR="006E69FC" w:rsidRPr="006E69FC">
        <w:rPr>
          <w:rFonts w:ascii="Arial" w:hAnsi="Arial" w:cs="Arial"/>
        </w:rPr>
        <w:t xml:space="preserve"> Barbara Casciarri</w:t>
      </w:r>
      <w:r w:rsidR="006E69FC">
        <w:rPr>
          <w:rFonts w:ascii="Arial" w:hAnsi="Arial" w:cs="Arial"/>
        </w:rPr>
        <w:t xml:space="preserve">. </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8776D">
        <w:rPr>
          <w:rFonts w:ascii="Arial" w:hAnsi="Arial" w:cs="Arial" w:hint="eastAsia"/>
          <w:b/>
        </w:rPr>
        <w:t xml:space="preserve"> </w:t>
      </w:r>
      <w:r w:rsidR="003D23D1" w:rsidRPr="003D23D1">
        <w:rPr>
          <w:rFonts w:ascii="Arial" w:hAnsi="Arial" w:cs="Arial"/>
          <w:b/>
        </w:rPr>
        <w:t>Making Home(s) in Displacement: Critical Reflections on a Spatial Practice</w:t>
      </w:r>
    </w:p>
    <w:p w:rsidR="00A47729" w:rsidRPr="00015B18" w:rsidRDefault="0088776D" w:rsidP="0088776D">
      <w:pPr>
        <w:rPr>
          <w:rFonts w:ascii="Arial" w:hAnsi="Arial" w:cs="Arial" w:hint="eastAsia"/>
          <w:b/>
        </w:rPr>
      </w:pPr>
      <w:r w:rsidRPr="0088776D">
        <w:rPr>
          <w:rFonts w:ascii="Arial" w:hAnsi="Arial" w:cs="Arial"/>
          <w:b/>
        </w:rPr>
        <w:t xml:space="preserve">Authors: </w:t>
      </w:r>
      <w:r w:rsidR="003D23D1" w:rsidRPr="003D23D1">
        <w:rPr>
          <w:rFonts w:ascii="Arial" w:hAnsi="Arial" w:cs="Arial"/>
          <w:b/>
        </w:rPr>
        <w:t>Ilse van Liempt</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3D23D1" w:rsidRPr="003D23D1">
        <w:rPr>
          <w:rFonts w:ascii="Arial" w:hAnsi="Arial" w:cs="Arial"/>
        </w:rPr>
        <w:t>The article reviews the book “</w:t>
      </w:r>
      <w:r w:rsidR="00A80D46" w:rsidRPr="00A80D46">
        <w:rPr>
          <w:rFonts w:ascii="Arial" w:hAnsi="Arial" w:cs="Arial"/>
        </w:rPr>
        <w:t>Making Home(s) in Displacement: Critical Reflections on a Spatial Practice</w:t>
      </w:r>
      <w:r w:rsidR="003D23D1" w:rsidRPr="003D23D1">
        <w:rPr>
          <w:rFonts w:ascii="Arial" w:hAnsi="Arial" w:cs="Arial"/>
        </w:rPr>
        <w:t>” by</w:t>
      </w:r>
      <w:r w:rsidR="00A80D46">
        <w:rPr>
          <w:rFonts w:ascii="Arial" w:hAnsi="Arial" w:cs="Arial"/>
        </w:rPr>
        <w:t xml:space="preserve"> Luce Beeckmans and</w:t>
      </w:r>
      <w:r w:rsidR="00A80D46" w:rsidRPr="00A80D46">
        <w:rPr>
          <w:rFonts w:ascii="Arial" w:hAnsi="Arial" w:cs="Arial"/>
        </w:rPr>
        <w:t xml:space="preserve"> Alessandra Gola</w:t>
      </w:r>
      <w:r w:rsidR="00A80D46">
        <w:rPr>
          <w:rFonts w:ascii="Arial" w:hAnsi="Arial" w:cs="Arial"/>
        </w:rPr>
        <w:t>.</w:t>
      </w:r>
    </w:p>
    <w:p w:rsidR="001A3C6A" w:rsidRPr="001A3C6A" w:rsidRDefault="001A3C6A" w:rsidP="00A47729">
      <w:pPr>
        <w:rPr>
          <w:rFonts w:ascii="Verdana" w:hAnsi="Verdana" w:hint="eastAsia"/>
          <w:b/>
        </w:rPr>
      </w:pPr>
      <w:bookmarkStart w:id="0" w:name="_GoBack"/>
      <w:bookmarkEnd w:id="0"/>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97E" w:rsidRDefault="00F0297E" w:rsidP="000416B0">
      <w:r>
        <w:separator/>
      </w:r>
    </w:p>
  </w:endnote>
  <w:endnote w:type="continuationSeparator" w:id="0">
    <w:p w:rsidR="00F0297E" w:rsidRDefault="00F0297E"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97E" w:rsidRDefault="00F0297E" w:rsidP="000416B0">
      <w:r>
        <w:separator/>
      </w:r>
    </w:p>
  </w:footnote>
  <w:footnote w:type="continuationSeparator" w:id="0">
    <w:p w:rsidR="00F0297E" w:rsidRDefault="00F0297E"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46033"/>
    <w:rsid w:val="00080932"/>
    <w:rsid w:val="00085216"/>
    <w:rsid w:val="00097FF1"/>
    <w:rsid w:val="000A70C9"/>
    <w:rsid w:val="000B5E6A"/>
    <w:rsid w:val="000F4EF2"/>
    <w:rsid w:val="00105FFF"/>
    <w:rsid w:val="00117461"/>
    <w:rsid w:val="00130569"/>
    <w:rsid w:val="001316DF"/>
    <w:rsid w:val="00136277"/>
    <w:rsid w:val="00150EC6"/>
    <w:rsid w:val="00182EB1"/>
    <w:rsid w:val="00190E14"/>
    <w:rsid w:val="001A0968"/>
    <w:rsid w:val="001A3C6A"/>
    <w:rsid w:val="001B6853"/>
    <w:rsid w:val="001C54AA"/>
    <w:rsid w:val="001F4F1C"/>
    <w:rsid w:val="001F733E"/>
    <w:rsid w:val="002372AD"/>
    <w:rsid w:val="00246CDF"/>
    <w:rsid w:val="00267D83"/>
    <w:rsid w:val="00276D91"/>
    <w:rsid w:val="00286DBB"/>
    <w:rsid w:val="00290BBB"/>
    <w:rsid w:val="0029479D"/>
    <w:rsid w:val="002A3FED"/>
    <w:rsid w:val="002B60CB"/>
    <w:rsid w:val="002C6A25"/>
    <w:rsid w:val="002E50D0"/>
    <w:rsid w:val="002F49D9"/>
    <w:rsid w:val="00320FC9"/>
    <w:rsid w:val="00325A86"/>
    <w:rsid w:val="00341D27"/>
    <w:rsid w:val="00347411"/>
    <w:rsid w:val="00362E16"/>
    <w:rsid w:val="00367FF4"/>
    <w:rsid w:val="0038022A"/>
    <w:rsid w:val="0038493B"/>
    <w:rsid w:val="00384A43"/>
    <w:rsid w:val="00390FCB"/>
    <w:rsid w:val="003B49E4"/>
    <w:rsid w:val="003D23D1"/>
    <w:rsid w:val="003D65C4"/>
    <w:rsid w:val="003E264B"/>
    <w:rsid w:val="00402145"/>
    <w:rsid w:val="00404A4A"/>
    <w:rsid w:val="00413772"/>
    <w:rsid w:val="00425DB7"/>
    <w:rsid w:val="004345ED"/>
    <w:rsid w:val="00446EEF"/>
    <w:rsid w:val="004475B7"/>
    <w:rsid w:val="00465601"/>
    <w:rsid w:val="00490C30"/>
    <w:rsid w:val="004A5434"/>
    <w:rsid w:val="004B18C7"/>
    <w:rsid w:val="004C1455"/>
    <w:rsid w:val="004D2505"/>
    <w:rsid w:val="004E1D61"/>
    <w:rsid w:val="005325D5"/>
    <w:rsid w:val="00584B4D"/>
    <w:rsid w:val="00594711"/>
    <w:rsid w:val="005950E3"/>
    <w:rsid w:val="005A3BD0"/>
    <w:rsid w:val="005D1ED5"/>
    <w:rsid w:val="005E03C2"/>
    <w:rsid w:val="005F4F72"/>
    <w:rsid w:val="0061351E"/>
    <w:rsid w:val="00613784"/>
    <w:rsid w:val="00631348"/>
    <w:rsid w:val="0065320A"/>
    <w:rsid w:val="00664CB3"/>
    <w:rsid w:val="006651B5"/>
    <w:rsid w:val="00672981"/>
    <w:rsid w:val="00694D6A"/>
    <w:rsid w:val="006B63D3"/>
    <w:rsid w:val="006C0761"/>
    <w:rsid w:val="006C4854"/>
    <w:rsid w:val="006D4C0E"/>
    <w:rsid w:val="006D6E6E"/>
    <w:rsid w:val="006E4F7D"/>
    <w:rsid w:val="006E69FC"/>
    <w:rsid w:val="00721C5B"/>
    <w:rsid w:val="007370D0"/>
    <w:rsid w:val="00754030"/>
    <w:rsid w:val="00763149"/>
    <w:rsid w:val="00770779"/>
    <w:rsid w:val="00796369"/>
    <w:rsid w:val="007D5882"/>
    <w:rsid w:val="00802F9D"/>
    <w:rsid w:val="00847457"/>
    <w:rsid w:val="0088776D"/>
    <w:rsid w:val="00893DBA"/>
    <w:rsid w:val="00893DCA"/>
    <w:rsid w:val="008C60D2"/>
    <w:rsid w:val="008C6A01"/>
    <w:rsid w:val="008D4A4E"/>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31C58"/>
    <w:rsid w:val="00A432FE"/>
    <w:rsid w:val="00A47729"/>
    <w:rsid w:val="00A515BC"/>
    <w:rsid w:val="00A57A4C"/>
    <w:rsid w:val="00A80D46"/>
    <w:rsid w:val="00A81F0C"/>
    <w:rsid w:val="00A863A3"/>
    <w:rsid w:val="00AB0137"/>
    <w:rsid w:val="00AC3C55"/>
    <w:rsid w:val="00AC5B1D"/>
    <w:rsid w:val="00B054F3"/>
    <w:rsid w:val="00B072B7"/>
    <w:rsid w:val="00B10780"/>
    <w:rsid w:val="00B14435"/>
    <w:rsid w:val="00B17FEC"/>
    <w:rsid w:val="00B416F7"/>
    <w:rsid w:val="00B535F4"/>
    <w:rsid w:val="00B56243"/>
    <w:rsid w:val="00B61150"/>
    <w:rsid w:val="00B65EF5"/>
    <w:rsid w:val="00B67606"/>
    <w:rsid w:val="00BA5CD1"/>
    <w:rsid w:val="00BC4102"/>
    <w:rsid w:val="00BC4976"/>
    <w:rsid w:val="00BD577C"/>
    <w:rsid w:val="00BE1972"/>
    <w:rsid w:val="00BF1FB4"/>
    <w:rsid w:val="00C305F0"/>
    <w:rsid w:val="00C33F24"/>
    <w:rsid w:val="00C34EE8"/>
    <w:rsid w:val="00C90DA2"/>
    <w:rsid w:val="00CA21BD"/>
    <w:rsid w:val="00CA2F73"/>
    <w:rsid w:val="00CD0BC2"/>
    <w:rsid w:val="00CE12D0"/>
    <w:rsid w:val="00CE38E0"/>
    <w:rsid w:val="00D02A17"/>
    <w:rsid w:val="00D12DAA"/>
    <w:rsid w:val="00D15FE5"/>
    <w:rsid w:val="00D32D24"/>
    <w:rsid w:val="00D666FF"/>
    <w:rsid w:val="00D93C3E"/>
    <w:rsid w:val="00DB03E7"/>
    <w:rsid w:val="00DB72D2"/>
    <w:rsid w:val="00E02C95"/>
    <w:rsid w:val="00E043F2"/>
    <w:rsid w:val="00E32237"/>
    <w:rsid w:val="00E504DD"/>
    <w:rsid w:val="00E553F3"/>
    <w:rsid w:val="00E6353F"/>
    <w:rsid w:val="00E707C9"/>
    <w:rsid w:val="00E822CC"/>
    <w:rsid w:val="00E86C47"/>
    <w:rsid w:val="00E94A62"/>
    <w:rsid w:val="00EB6806"/>
    <w:rsid w:val="00EC2DD6"/>
    <w:rsid w:val="00ED11A2"/>
    <w:rsid w:val="00EE0D05"/>
    <w:rsid w:val="00EE22C4"/>
    <w:rsid w:val="00EE254C"/>
    <w:rsid w:val="00F0297E"/>
    <w:rsid w:val="00F10951"/>
    <w:rsid w:val="00F17719"/>
    <w:rsid w:val="00F3500B"/>
    <w:rsid w:val="00F81532"/>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0DFFB"/>
  <w15:chartTrackingRefBased/>
  <w15:docId w15:val="{F8382468-7D7A-40F1-A84E-E4653AA0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8794">
      <w:bodyDiv w:val="1"/>
      <w:marLeft w:val="0"/>
      <w:marRight w:val="0"/>
      <w:marTop w:val="0"/>
      <w:marBottom w:val="0"/>
      <w:divBdr>
        <w:top w:val="none" w:sz="0" w:space="0" w:color="auto"/>
        <w:left w:val="none" w:sz="0" w:space="0" w:color="auto"/>
        <w:bottom w:val="none" w:sz="0" w:space="0" w:color="auto"/>
        <w:right w:val="none" w:sz="0" w:space="0" w:color="auto"/>
      </w:divBdr>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9232">
      <w:bodyDiv w:val="1"/>
      <w:marLeft w:val="0"/>
      <w:marRight w:val="0"/>
      <w:marTop w:val="0"/>
      <w:marBottom w:val="0"/>
      <w:divBdr>
        <w:top w:val="none" w:sz="0" w:space="0" w:color="auto"/>
        <w:left w:val="none" w:sz="0" w:space="0" w:color="auto"/>
        <w:bottom w:val="none" w:sz="0" w:space="0" w:color="auto"/>
        <w:right w:val="none" w:sz="0" w:space="0" w:color="auto"/>
      </w:divBdr>
      <w:divsChild>
        <w:div w:id="379869194">
          <w:marLeft w:val="0"/>
          <w:marRight w:val="0"/>
          <w:marTop w:val="0"/>
          <w:marBottom w:val="150"/>
          <w:divBdr>
            <w:top w:val="none" w:sz="0" w:space="0" w:color="auto"/>
            <w:left w:val="none" w:sz="0" w:space="0" w:color="auto"/>
            <w:bottom w:val="none" w:sz="0" w:space="0" w:color="auto"/>
            <w:right w:val="none" w:sz="0" w:space="0" w:color="auto"/>
          </w:divBdr>
        </w:div>
        <w:div w:id="729382404">
          <w:marLeft w:val="0"/>
          <w:marRight w:val="0"/>
          <w:marTop w:val="0"/>
          <w:marBottom w:val="150"/>
          <w:divBdr>
            <w:top w:val="none" w:sz="0" w:space="0" w:color="auto"/>
            <w:left w:val="none" w:sz="0" w:space="0" w:color="auto"/>
            <w:bottom w:val="none" w:sz="0" w:space="0" w:color="auto"/>
            <w:right w:val="none" w:sz="0" w:space="0" w:color="auto"/>
          </w:divBdr>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6435">
      <w:bodyDiv w:val="1"/>
      <w:marLeft w:val="0"/>
      <w:marRight w:val="0"/>
      <w:marTop w:val="0"/>
      <w:marBottom w:val="0"/>
      <w:divBdr>
        <w:top w:val="none" w:sz="0" w:space="0" w:color="auto"/>
        <w:left w:val="none" w:sz="0" w:space="0" w:color="auto"/>
        <w:bottom w:val="none" w:sz="0" w:space="0" w:color="auto"/>
        <w:right w:val="none" w:sz="0" w:space="0" w:color="auto"/>
      </w:divBdr>
      <w:divsChild>
        <w:div w:id="399862023">
          <w:marLeft w:val="0"/>
          <w:marRight w:val="0"/>
          <w:marTop w:val="0"/>
          <w:marBottom w:val="150"/>
          <w:divBdr>
            <w:top w:val="none" w:sz="0" w:space="0" w:color="auto"/>
            <w:left w:val="none" w:sz="0" w:space="0" w:color="auto"/>
            <w:bottom w:val="none" w:sz="0" w:space="0" w:color="auto"/>
            <w:right w:val="none" w:sz="0" w:space="0" w:color="auto"/>
          </w:divBdr>
        </w:div>
        <w:div w:id="1740860697">
          <w:marLeft w:val="0"/>
          <w:marRight w:val="0"/>
          <w:marTop w:val="0"/>
          <w:marBottom w:val="150"/>
          <w:divBdr>
            <w:top w:val="none" w:sz="0" w:space="0" w:color="auto"/>
            <w:left w:val="none" w:sz="0" w:space="0" w:color="auto"/>
            <w:bottom w:val="none" w:sz="0" w:space="0" w:color="auto"/>
            <w:right w:val="none" w:sz="0" w:space="0" w:color="auto"/>
          </w:divBdr>
        </w:div>
        <w:div w:id="2083789183">
          <w:marLeft w:val="0"/>
          <w:marRight w:val="0"/>
          <w:marTop w:val="0"/>
          <w:marBottom w:val="150"/>
          <w:divBdr>
            <w:top w:val="none" w:sz="0" w:space="0" w:color="auto"/>
            <w:left w:val="none" w:sz="0" w:space="0" w:color="auto"/>
            <w:bottom w:val="none" w:sz="0" w:space="0" w:color="auto"/>
            <w:right w:val="none" w:sz="0" w:space="0" w:color="auto"/>
          </w:divBdr>
        </w:div>
        <w:div w:id="828401498">
          <w:marLeft w:val="0"/>
          <w:marRight w:val="0"/>
          <w:marTop w:val="0"/>
          <w:marBottom w:val="150"/>
          <w:divBdr>
            <w:top w:val="none" w:sz="0" w:space="0" w:color="auto"/>
            <w:left w:val="none" w:sz="0" w:space="0" w:color="auto"/>
            <w:bottom w:val="none" w:sz="0" w:space="0" w:color="auto"/>
            <w:right w:val="none" w:sz="0" w:space="0" w:color="auto"/>
          </w:divBdr>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1650">
      <w:bodyDiv w:val="1"/>
      <w:marLeft w:val="0"/>
      <w:marRight w:val="0"/>
      <w:marTop w:val="0"/>
      <w:marBottom w:val="0"/>
      <w:divBdr>
        <w:top w:val="none" w:sz="0" w:space="0" w:color="auto"/>
        <w:left w:val="none" w:sz="0" w:space="0" w:color="auto"/>
        <w:bottom w:val="none" w:sz="0" w:space="0" w:color="auto"/>
        <w:right w:val="none" w:sz="0" w:space="0" w:color="auto"/>
      </w:divBdr>
      <w:divsChild>
        <w:div w:id="1153832113">
          <w:marLeft w:val="0"/>
          <w:marRight w:val="0"/>
          <w:marTop w:val="0"/>
          <w:marBottom w:val="150"/>
          <w:divBdr>
            <w:top w:val="none" w:sz="0" w:space="0" w:color="auto"/>
            <w:left w:val="none" w:sz="0" w:space="0" w:color="auto"/>
            <w:bottom w:val="none" w:sz="0" w:space="0" w:color="auto"/>
            <w:right w:val="none" w:sz="0" w:space="0" w:color="auto"/>
          </w:divBdr>
        </w:div>
        <w:div w:id="1239561891">
          <w:marLeft w:val="0"/>
          <w:marRight w:val="0"/>
          <w:marTop w:val="0"/>
          <w:marBottom w:val="150"/>
          <w:divBdr>
            <w:top w:val="none" w:sz="0" w:space="0" w:color="auto"/>
            <w:left w:val="none" w:sz="0" w:space="0" w:color="auto"/>
            <w:bottom w:val="none" w:sz="0" w:space="0" w:color="auto"/>
            <w:right w:val="none" w:sz="0" w:space="0" w:color="auto"/>
          </w:divBdr>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48783">
      <w:bodyDiv w:val="1"/>
      <w:marLeft w:val="0"/>
      <w:marRight w:val="0"/>
      <w:marTop w:val="0"/>
      <w:marBottom w:val="0"/>
      <w:divBdr>
        <w:top w:val="none" w:sz="0" w:space="0" w:color="auto"/>
        <w:left w:val="none" w:sz="0" w:space="0" w:color="auto"/>
        <w:bottom w:val="none" w:sz="0" w:space="0" w:color="auto"/>
        <w:right w:val="none" w:sz="0" w:space="0" w:color="auto"/>
      </w:divBdr>
    </w:div>
    <w:div w:id="373315629">
      <w:bodyDiv w:val="1"/>
      <w:marLeft w:val="0"/>
      <w:marRight w:val="0"/>
      <w:marTop w:val="0"/>
      <w:marBottom w:val="0"/>
      <w:divBdr>
        <w:top w:val="none" w:sz="0" w:space="0" w:color="auto"/>
        <w:left w:val="none" w:sz="0" w:space="0" w:color="auto"/>
        <w:bottom w:val="none" w:sz="0" w:space="0" w:color="auto"/>
        <w:right w:val="none" w:sz="0" w:space="0" w:color="auto"/>
      </w:divBdr>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44779">
      <w:bodyDiv w:val="1"/>
      <w:marLeft w:val="0"/>
      <w:marRight w:val="0"/>
      <w:marTop w:val="0"/>
      <w:marBottom w:val="0"/>
      <w:divBdr>
        <w:top w:val="none" w:sz="0" w:space="0" w:color="auto"/>
        <w:left w:val="none" w:sz="0" w:space="0" w:color="auto"/>
        <w:bottom w:val="none" w:sz="0" w:space="0" w:color="auto"/>
        <w:right w:val="none" w:sz="0" w:space="0" w:color="auto"/>
      </w:divBdr>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7729">
      <w:bodyDiv w:val="1"/>
      <w:marLeft w:val="0"/>
      <w:marRight w:val="0"/>
      <w:marTop w:val="0"/>
      <w:marBottom w:val="0"/>
      <w:divBdr>
        <w:top w:val="none" w:sz="0" w:space="0" w:color="auto"/>
        <w:left w:val="none" w:sz="0" w:space="0" w:color="auto"/>
        <w:bottom w:val="none" w:sz="0" w:space="0" w:color="auto"/>
        <w:right w:val="none" w:sz="0" w:space="0" w:color="auto"/>
      </w:divBdr>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7366">
      <w:bodyDiv w:val="1"/>
      <w:marLeft w:val="0"/>
      <w:marRight w:val="0"/>
      <w:marTop w:val="0"/>
      <w:marBottom w:val="0"/>
      <w:divBdr>
        <w:top w:val="none" w:sz="0" w:space="0" w:color="auto"/>
        <w:left w:val="none" w:sz="0" w:space="0" w:color="auto"/>
        <w:bottom w:val="none" w:sz="0" w:space="0" w:color="auto"/>
        <w:right w:val="none" w:sz="0" w:space="0" w:color="auto"/>
      </w:divBdr>
      <w:divsChild>
        <w:div w:id="1148281641">
          <w:marLeft w:val="0"/>
          <w:marRight w:val="0"/>
          <w:marTop w:val="0"/>
          <w:marBottom w:val="150"/>
          <w:divBdr>
            <w:top w:val="none" w:sz="0" w:space="0" w:color="auto"/>
            <w:left w:val="none" w:sz="0" w:space="0" w:color="auto"/>
            <w:bottom w:val="none" w:sz="0" w:space="0" w:color="auto"/>
            <w:right w:val="none" w:sz="0" w:space="0" w:color="auto"/>
          </w:divBdr>
        </w:div>
        <w:div w:id="1050878315">
          <w:marLeft w:val="0"/>
          <w:marRight w:val="0"/>
          <w:marTop w:val="0"/>
          <w:marBottom w:val="150"/>
          <w:divBdr>
            <w:top w:val="none" w:sz="0" w:space="0" w:color="auto"/>
            <w:left w:val="none" w:sz="0" w:space="0" w:color="auto"/>
            <w:bottom w:val="none" w:sz="0" w:space="0" w:color="auto"/>
            <w:right w:val="none" w:sz="0" w:space="0" w:color="auto"/>
          </w:divBdr>
        </w:div>
        <w:div w:id="321616498">
          <w:marLeft w:val="0"/>
          <w:marRight w:val="0"/>
          <w:marTop w:val="0"/>
          <w:marBottom w:val="150"/>
          <w:divBdr>
            <w:top w:val="none" w:sz="0" w:space="0" w:color="auto"/>
            <w:left w:val="none" w:sz="0" w:space="0" w:color="auto"/>
            <w:bottom w:val="none" w:sz="0" w:space="0" w:color="auto"/>
            <w:right w:val="none" w:sz="0" w:space="0" w:color="auto"/>
          </w:divBdr>
        </w:div>
      </w:divsChild>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7579">
      <w:bodyDiv w:val="1"/>
      <w:marLeft w:val="0"/>
      <w:marRight w:val="0"/>
      <w:marTop w:val="0"/>
      <w:marBottom w:val="0"/>
      <w:divBdr>
        <w:top w:val="none" w:sz="0" w:space="0" w:color="auto"/>
        <w:left w:val="none" w:sz="0" w:space="0" w:color="auto"/>
        <w:bottom w:val="none" w:sz="0" w:space="0" w:color="auto"/>
        <w:right w:val="none" w:sz="0" w:space="0" w:color="auto"/>
      </w:divBdr>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844709">
      <w:bodyDiv w:val="1"/>
      <w:marLeft w:val="0"/>
      <w:marRight w:val="0"/>
      <w:marTop w:val="0"/>
      <w:marBottom w:val="0"/>
      <w:divBdr>
        <w:top w:val="none" w:sz="0" w:space="0" w:color="auto"/>
        <w:left w:val="none" w:sz="0" w:space="0" w:color="auto"/>
        <w:bottom w:val="none" w:sz="0" w:space="0" w:color="auto"/>
        <w:right w:val="none" w:sz="0" w:space="0" w:color="auto"/>
      </w:divBdr>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335">
      <w:bodyDiv w:val="1"/>
      <w:marLeft w:val="0"/>
      <w:marRight w:val="0"/>
      <w:marTop w:val="0"/>
      <w:marBottom w:val="0"/>
      <w:divBdr>
        <w:top w:val="none" w:sz="0" w:space="0" w:color="auto"/>
        <w:left w:val="none" w:sz="0" w:space="0" w:color="auto"/>
        <w:bottom w:val="none" w:sz="0" w:space="0" w:color="auto"/>
        <w:right w:val="none" w:sz="0" w:space="0" w:color="auto"/>
      </w:divBdr>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61271">
      <w:bodyDiv w:val="1"/>
      <w:marLeft w:val="0"/>
      <w:marRight w:val="0"/>
      <w:marTop w:val="0"/>
      <w:marBottom w:val="0"/>
      <w:divBdr>
        <w:top w:val="none" w:sz="0" w:space="0" w:color="auto"/>
        <w:left w:val="none" w:sz="0" w:space="0" w:color="auto"/>
        <w:bottom w:val="none" w:sz="0" w:space="0" w:color="auto"/>
        <w:right w:val="none" w:sz="0" w:space="0" w:color="auto"/>
      </w:divBdr>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60963">
      <w:bodyDiv w:val="1"/>
      <w:marLeft w:val="0"/>
      <w:marRight w:val="0"/>
      <w:marTop w:val="0"/>
      <w:marBottom w:val="0"/>
      <w:divBdr>
        <w:top w:val="none" w:sz="0" w:space="0" w:color="auto"/>
        <w:left w:val="none" w:sz="0" w:space="0" w:color="auto"/>
        <w:bottom w:val="none" w:sz="0" w:space="0" w:color="auto"/>
        <w:right w:val="none" w:sz="0" w:space="0" w:color="auto"/>
      </w:divBdr>
    </w:div>
    <w:div w:id="757756636">
      <w:bodyDiv w:val="1"/>
      <w:marLeft w:val="0"/>
      <w:marRight w:val="0"/>
      <w:marTop w:val="0"/>
      <w:marBottom w:val="0"/>
      <w:divBdr>
        <w:top w:val="none" w:sz="0" w:space="0" w:color="auto"/>
        <w:left w:val="none" w:sz="0" w:space="0" w:color="auto"/>
        <w:bottom w:val="none" w:sz="0" w:space="0" w:color="auto"/>
        <w:right w:val="none" w:sz="0" w:space="0" w:color="auto"/>
      </w:divBdr>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3606">
      <w:bodyDiv w:val="1"/>
      <w:marLeft w:val="0"/>
      <w:marRight w:val="0"/>
      <w:marTop w:val="0"/>
      <w:marBottom w:val="0"/>
      <w:divBdr>
        <w:top w:val="none" w:sz="0" w:space="0" w:color="auto"/>
        <w:left w:val="none" w:sz="0" w:space="0" w:color="auto"/>
        <w:bottom w:val="none" w:sz="0" w:space="0" w:color="auto"/>
        <w:right w:val="none" w:sz="0" w:space="0" w:color="auto"/>
      </w:divBdr>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54125">
      <w:bodyDiv w:val="1"/>
      <w:marLeft w:val="0"/>
      <w:marRight w:val="0"/>
      <w:marTop w:val="0"/>
      <w:marBottom w:val="0"/>
      <w:divBdr>
        <w:top w:val="none" w:sz="0" w:space="0" w:color="auto"/>
        <w:left w:val="none" w:sz="0" w:space="0" w:color="auto"/>
        <w:bottom w:val="none" w:sz="0" w:space="0" w:color="auto"/>
        <w:right w:val="none" w:sz="0" w:space="0" w:color="auto"/>
      </w:divBdr>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9110">
      <w:bodyDiv w:val="1"/>
      <w:marLeft w:val="0"/>
      <w:marRight w:val="0"/>
      <w:marTop w:val="0"/>
      <w:marBottom w:val="0"/>
      <w:divBdr>
        <w:top w:val="none" w:sz="0" w:space="0" w:color="auto"/>
        <w:left w:val="none" w:sz="0" w:space="0" w:color="auto"/>
        <w:bottom w:val="none" w:sz="0" w:space="0" w:color="auto"/>
        <w:right w:val="none" w:sz="0" w:space="0" w:color="auto"/>
      </w:divBdr>
      <w:divsChild>
        <w:div w:id="1858811530">
          <w:marLeft w:val="0"/>
          <w:marRight w:val="0"/>
          <w:marTop w:val="0"/>
          <w:marBottom w:val="150"/>
          <w:divBdr>
            <w:top w:val="none" w:sz="0" w:space="0" w:color="auto"/>
            <w:left w:val="none" w:sz="0" w:space="0" w:color="auto"/>
            <w:bottom w:val="none" w:sz="0" w:space="0" w:color="auto"/>
            <w:right w:val="none" w:sz="0" w:space="0" w:color="auto"/>
          </w:divBdr>
        </w:div>
        <w:div w:id="1916474428">
          <w:marLeft w:val="0"/>
          <w:marRight w:val="0"/>
          <w:marTop w:val="0"/>
          <w:marBottom w:val="150"/>
          <w:divBdr>
            <w:top w:val="none" w:sz="0" w:space="0" w:color="auto"/>
            <w:left w:val="none" w:sz="0" w:space="0" w:color="auto"/>
            <w:bottom w:val="none" w:sz="0" w:space="0" w:color="auto"/>
            <w:right w:val="none" w:sz="0" w:space="0" w:color="auto"/>
          </w:divBdr>
        </w:div>
      </w:divsChild>
    </w:div>
    <w:div w:id="1239825986">
      <w:bodyDiv w:val="1"/>
      <w:marLeft w:val="0"/>
      <w:marRight w:val="0"/>
      <w:marTop w:val="0"/>
      <w:marBottom w:val="0"/>
      <w:divBdr>
        <w:top w:val="none" w:sz="0" w:space="0" w:color="auto"/>
        <w:left w:val="none" w:sz="0" w:space="0" w:color="auto"/>
        <w:bottom w:val="none" w:sz="0" w:space="0" w:color="auto"/>
        <w:right w:val="none" w:sz="0" w:space="0" w:color="auto"/>
      </w:divBdr>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5246">
      <w:bodyDiv w:val="1"/>
      <w:marLeft w:val="0"/>
      <w:marRight w:val="0"/>
      <w:marTop w:val="0"/>
      <w:marBottom w:val="0"/>
      <w:divBdr>
        <w:top w:val="none" w:sz="0" w:space="0" w:color="auto"/>
        <w:left w:val="none" w:sz="0" w:space="0" w:color="auto"/>
        <w:bottom w:val="none" w:sz="0" w:space="0" w:color="auto"/>
        <w:right w:val="none" w:sz="0" w:space="0" w:color="auto"/>
      </w:divBdr>
      <w:divsChild>
        <w:div w:id="1472944558">
          <w:marLeft w:val="0"/>
          <w:marRight w:val="0"/>
          <w:marTop w:val="0"/>
          <w:marBottom w:val="150"/>
          <w:divBdr>
            <w:top w:val="none" w:sz="0" w:space="0" w:color="auto"/>
            <w:left w:val="none" w:sz="0" w:space="0" w:color="auto"/>
            <w:bottom w:val="none" w:sz="0" w:space="0" w:color="auto"/>
            <w:right w:val="none" w:sz="0" w:space="0" w:color="auto"/>
          </w:divBdr>
        </w:div>
        <w:div w:id="53621055">
          <w:marLeft w:val="0"/>
          <w:marRight w:val="0"/>
          <w:marTop w:val="0"/>
          <w:marBottom w:val="150"/>
          <w:divBdr>
            <w:top w:val="none" w:sz="0" w:space="0" w:color="auto"/>
            <w:left w:val="none" w:sz="0" w:space="0" w:color="auto"/>
            <w:bottom w:val="none" w:sz="0" w:space="0" w:color="auto"/>
            <w:right w:val="none" w:sz="0" w:space="0" w:color="auto"/>
          </w:divBdr>
        </w:div>
        <w:div w:id="1513567964">
          <w:marLeft w:val="0"/>
          <w:marRight w:val="0"/>
          <w:marTop w:val="0"/>
          <w:marBottom w:val="150"/>
          <w:divBdr>
            <w:top w:val="none" w:sz="0" w:space="0" w:color="auto"/>
            <w:left w:val="none" w:sz="0" w:space="0" w:color="auto"/>
            <w:bottom w:val="none" w:sz="0" w:space="0" w:color="auto"/>
            <w:right w:val="none" w:sz="0" w:space="0" w:color="auto"/>
          </w:divBdr>
        </w:div>
        <w:div w:id="953755272">
          <w:marLeft w:val="0"/>
          <w:marRight w:val="0"/>
          <w:marTop w:val="0"/>
          <w:marBottom w:val="150"/>
          <w:divBdr>
            <w:top w:val="none" w:sz="0" w:space="0" w:color="auto"/>
            <w:left w:val="none" w:sz="0" w:space="0" w:color="auto"/>
            <w:bottom w:val="none" w:sz="0" w:space="0" w:color="auto"/>
            <w:right w:val="none" w:sz="0" w:space="0" w:color="auto"/>
          </w:divBdr>
        </w:div>
        <w:div w:id="1028794966">
          <w:marLeft w:val="0"/>
          <w:marRight w:val="0"/>
          <w:marTop w:val="0"/>
          <w:marBottom w:val="150"/>
          <w:divBdr>
            <w:top w:val="none" w:sz="0" w:space="0" w:color="auto"/>
            <w:left w:val="none" w:sz="0" w:space="0" w:color="auto"/>
            <w:bottom w:val="none" w:sz="0" w:space="0" w:color="auto"/>
            <w:right w:val="none" w:sz="0" w:space="0" w:color="auto"/>
          </w:divBdr>
        </w:div>
        <w:div w:id="662317551">
          <w:marLeft w:val="0"/>
          <w:marRight w:val="0"/>
          <w:marTop w:val="0"/>
          <w:marBottom w:val="150"/>
          <w:divBdr>
            <w:top w:val="none" w:sz="0" w:space="0" w:color="auto"/>
            <w:left w:val="none" w:sz="0" w:space="0" w:color="auto"/>
            <w:bottom w:val="none" w:sz="0" w:space="0" w:color="auto"/>
            <w:right w:val="none" w:sz="0" w:space="0" w:color="auto"/>
          </w:divBdr>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2435">
      <w:bodyDiv w:val="1"/>
      <w:marLeft w:val="0"/>
      <w:marRight w:val="0"/>
      <w:marTop w:val="0"/>
      <w:marBottom w:val="0"/>
      <w:divBdr>
        <w:top w:val="none" w:sz="0" w:space="0" w:color="auto"/>
        <w:left w:val="none" w:sz="0" w:space="0" w:color="auto"/>
        <w:bottom w:val="none" w:sz="0" w:space="0" w:color="auto"/>
        <w:right w:val="none" w:sz="0" w:space="0" w:color="auto"/>
      </w:divBdr>
      <w:divsChild>
        <w:div w:id="405760161">
          <w:marLeft w:val="0"/>
          <w:marRight w:val="0"/>
          <w:marTop w:val="0"/>
          <w:marBottom w:val="150"/>
          <w:divBdr>
            <w:top w:val="none" w:sz="0" w:space="0" w:color="auto"/>
            <w:left w:val="none" w:sz="0" w:space="0" w:color="auto"/>
            <w:bottom w:val="none" w:sz="0" w:space="0" w:color="auto"/>
            <w:right w:val="none" w:sz="0" w:space="0" w:color="auto"/>
          </w:divBdr>
        </w:div>
        <w:div w:id="2145391995">
          <w:marLeft w:val="0"/>
          <w:marRight w:val="0"/>
          <w:marTop w:val="0"/>
          <w:marBottom w:val="150"/>
          <w:divBdr>
            <w:top w:val="none" w:sz="0" w:space="0" w:color="auto"/>
            <w:left w:val="none" w:sz="0" w:space="0" w:color="auto"/>
            <w:bottom w:val="none" w:sz="0" w:space="0" w:color="auto"/>
            <w:right w:val="none" w:sz="0" w:space="0" w:color="auto"/>
          </w:divBdr>
        </w:div>
        <w:div w:id="279148151">
          <w:marLeft w:val="0"/>
          <w:marRight w:val="0"/>
          <w:marTop w:val="0"/>
          <w:marBottom w:val="150"/>
          <w:divBdr>
            <w:top w:val="none" w:sz="0" w:space="0" w:color="auto"/>
            <w:left w:val="none" w:sz="0" w:space="0" w:color="auto"/>
            <w:bottom w:val="none" w:sz="0" w:space="0" w:color="auto"/>
            <w:right w:val="none" w:sz="0" w:space="0" w:color="auto"/>
          </w:divBdr>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41317">
      <w:bodyDiv w:val="1"/>
      <w:marLeft w:val="0"/>
      <w:marRight w:val="0"/>
      <w:marTop w:val="0"/>
      <w:marBottom w:val="0"/>
      <w:divBdr>
        <w:top w:val="none" w:sz="0" w:space="0" w:color="auto"/>
        <w:left w:val="none" w:sz="0" w:space="0" w:color="auto"/>
        <w:bottom w:val="none" w:sz="0" w:space="0" w:color="auto"/>
        <w:right w:val="none" w:sz="0" w:space="0" w:color="auto"/>
      </w:divBdr>
      <w:divsChild>
        <w:div w:id="342249574">
          <w:marLeft w:val="0"/>
          <w:marRight w:val="0"/>
          <w:marTop w:val="0"/>
          <w:marBottom w:val="150"/>
          <w:divBdr>
            <w:top w:val="none" w:sz="0" w:space="0" w:color="auto"/>
            <w:left w:val="none" w:sz="0" w:space="0" w:color="auto"/>
            <w:bottom w:val="none" w:sz="0" w:space="0" w:color="auto"/>
            <w:right w:val="none" w:sz="0" w:space="0" w:color="auto"/>
          </w:divBdr>
        </w:div>
        <w:div w:id="1822772405">
          <w:marLeft w:val="0"/>
          <w:marRight w:val="0"/>
          <w:marTop w:val="0"/>
          <w:marBottom w:val="150"/>
          <w:divBdr>
            <w:top w:val="none" w:sz="0" w:space="0" w:color="auto"/>
            <w:left w:val="none" w:sz="0" w:space="0" w:color="auto"/>
            <w:bottom w:val="none" w:sz="0" w:space="0" w:color="auto"/>
            <w:right w:val="none" w:sz="0" w:space="0" w:color="auto"/>
          </w:divBdr>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39374">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2586</Words>
  <Characters>14743</Characters>
  <Application>Microsoft Office Word</Application>
  <DocSecurity>0</DocSecurity>
  <Lines>122</Lines>
  <Paragraphs>34</Paragraphs>
  <ScaleCrop>false</ScaleCrop>
  <Company>Microsoft</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99</cp:revision>
  <dcterms:created xsi:type="dcterms:W3CDTF">2023-04-12T03:50:00Z</dcterms:created>
  <dcterms:modified xsi:type="dcterms:W3CDTF">2023-04-12T06:45:00Z</dcterms:modified>
</cp:coreProperties>
</file>